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2a: Hemodynamic parameters on weaning day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9"/>
        <w:gridCol w:w="2496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[IQR]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 to weaning test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[4–10], n=31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flow (l)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[1.6–3], n=31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[0–25], n=31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Noradrenaline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[0–7.1], n=31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MAP_baseline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[72–80], n=31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[84.5–104], n=31</w:t>
            </w:r>
          </w:p>
        </w:tc>
      </w:tr>
      <w:tr>
        <w:trPr>
          <w:trHeight w:val="61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FEVG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[30–42.8], n=30</w:t>
            </w:r>
          </w:p>
        </w:tc>
      </w:tr>
      <w:tr>
        <w:trPr>
          <w:trHeight w:val="61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Mitral S' (cm/s)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[5.9–9], n=29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[0.8–1.4], n=30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2025-11-18T18:26:29Z</dcterms:modified>
  <cp:category/>
</cp:coreProperties>
</file>