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2a: Hemodynamic parameters on weaning day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9"/>
        <w:gridCol w:w="2496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[IQR]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 to weaning test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[4–10], n=31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flow (l)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[1.6–3], n=31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[0–25], n=31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Noradrenaline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[0–7.1], n=31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MAP_baseline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[72–80], n=31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[84.5–104], n=31</w:t>
            </w:r>
          </w:p>
        </w:tc>
      </w:tr>
      <w:tr>
        <w:trPr>
          <w:trHeight w:val="61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FEVG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[30–42.8], n=30</w:t>
            </w:r>
          </w:p>
        </w:tc>
      </w:tr>
      <w:tr>
        <w:trPr>
          <w:trHeight w:val="61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Mitral S' (cm/s)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[5.9–9], n=29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[0.8–1.4], n=30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2025-11-20T10:22:41Z</dcterms:modified>
  <cp:category/>
</cp:coreProperties>
</file>