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Outcomes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021"/>
        <w:gridCol w:w="1878"/>
      </w:tblGrid>
      <w:tr>
        <w:trPr>
          <w:trHeight w:val="577" w:hRule="auto"/>
          <w:tblHeader/>
        </w:trPr>
        header 1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Variables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</w:p>
        </w:tc>
      </w:tr>
      <w:tr>
        <w:trPr>
          <w:trHeight w:val="565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47</w:t>
            </w:r>
          </w:p>
        </w:tc>
      </w:tr>
      <w:tr>
        <w:trPr>
          <w:trHeight w:val="62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Weaning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21 (44.7) 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Duration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6.0 [3.0, 9.5]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Duration in weaned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5.0 [3.0, 8.0]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Duration in deceased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5.5 [3.0, 8.2]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Intra-Aortic Balloon Pump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11 (52.4) </w:t>
            </w:r>
          </w:p>
        </w:tc>
      </w:tr>
      <w:tr>
        <w:trPr>
          <w:trHeight w:val="61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Renal Replacement Therapy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 (33.3) </w:t>
            </w:r>
          </w:p>
        </w:tc>
      </w:tr>
      <w:tr>
        <w:trPr>
          <w:trHeight w:val="61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of Renal Replacement Therapy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0.0 [0.0, 5.0]</w:t>
            </w:r>
          </w:p>
        </w:tc>
      </w:tr>
      <w:tr>
        <w:trPr>
          <w:trHeight w:val="61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of Mechanical Ventilation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5.0 [2.0, 9.5]</w:t>
            </w:r>
          </w:p>
        </w:tc>
      </w:tr>
      <w:tr>
        <w:trPr>
          <w:trHeight w:val="62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ICU Length of Stay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14.0 [6.0, 19.5]</w:t>
            </w:r>
          </w:p>
        </w:tc>
      </w:tr>
      <w:tr>
        <w:trPr>
          <w:trHeight w:val="57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</w:p>
        </w:tc>
      </w:tr>
      <w:tr>
        <w:trPr>
          <w:trHeight w:val="61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Death in ICU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20 (42.6) </w:t>
            </w:r>
          </w:p>
        </w:tc>
      </w:tr>
      <w:tr>
        <w:trPr>
          <w:trHeight w:val="62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Bridge to LVAD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4 ( 8.5) </w:t>
            </w:r>
          </w:p>
        </w:tc>
      </w:tr>
      <w:tr>
        <w:trPr>
          <w:trHeight w:val="62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Bridge to Transplant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 ( 4.3) </w:t>
            </w:r>
          </w:p>
        </w:tc>
      </w:tr>
      <w:tr>
        <w:trPr>
          <w:trHeight w:val="61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28-day Mortality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22 (46.8) </w:t>
            </w:r>
          </w:p>
        </w:tc>
      </w:tr>
      <w:tr>
        <w:trPr>
          <w:trHeight w:val="618" w:hRule="auto"/>
        </w:trPr>
        body16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90-day Mortality (%)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27 (57.4) 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are expressed in n(%) for categorical variables and median [25th–75th] for continuous variables.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2025-12-04T15:46:03Z</dcterms:modified>
  <cp:category/>
</cp:coreProperties>
</file>