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2a: Hemodynamic parameters on weaning day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19"/>
        <w:gridCol w:w="2496"/>
      </w:tblGrid>
      <w:tr>
        <w:trPr>
          <w:trHeight w:val="61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[IQR]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delay to weaning test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[4–10], n=31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flow (l)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[1.6–3], n=31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Dobutamine cumulative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[0–25], n=31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Noradrenaline cumulative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[0–7.1], n=31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MAP_baseline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[72–80], n=31</w:t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[84.5–104], n=31</w:t>
            </w:r>
          </w:p>
        </w:tc>
      </w:tr>
      <w:tr>
        <w:trPr>
          <w:trHeight w:val="61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FEVG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[30–42.8], n=30</w:t>
            </w:r>
          </w:p>
        </w:tc>
      </w:tr>
      <w:tr>
        <w:trPr>
          <w:trHeight w:val="61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Mitral S' (cm/s)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[5.9–9], n=29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[0.8–1.4], n=30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2025-11-21T16:38:25Z</dcterms:modified>
  <cp:category/>
</cp:coreProperties>
</file>