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 at VA-ECMO implantation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650"/>
        <w:gridCol w:w="1156"/>
        <w:gridCol w:w="2576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Demographics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(51 – 66)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(15) 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 (24 – 30)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Medical 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(38) 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(19) 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(11) 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( 6) 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( 8)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( 8) </w:t>
            </w:r>
          </w:p>
        </w:tc>
      </w:tr>
      <w:tr>
        <w:trPr>
          <w:trHeight w:val="61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Prior-adrenergic medications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(47)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( 6) 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Cardiogenic shock cause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(34) 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(66) 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(53) </w:t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Clinical parameters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 (86 – 110)</w:t>
            </w:r>
          </w:p>
        </w:tc>
      </w:tr>
      <w:tr>
        <w:trPr>
          <w:trHeight w:val="62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 (58 – 72)</w:t>
            </w:r>
          </w:p>
        </w:tc>
      </w:tr>
      <w:tr>
        <w:trPr>
          <w:trHeight w:val="62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(68 – 81)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 (86 – 117)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heart 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 (15 – 22)</w:t>
            </w:r>
          </w:p>
        </w:tc>
      </w:tr>
      <w:tr>
        <w:trPr>
          <w:trHeight w:val="62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(5.7 – 8.5)</w:t>
            </w:r>
          </w:p>
        </w:tc>
      </w:tr>
      <w:tr>
        <w:trPr>
          <w:trHeight w:val="61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supports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(72) </w:t>
            </w:r>
          </w:p>
        </w:tc>
      </w:tr>
      <w:tr>
        <w:trPr>
          <w:trHeight w:val="62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Norepinephrine cumulative Dose on the VA-ECMO implantation day (γ/kg)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326 (20 – 843)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Dose on the VA-ECMO implantation day (γ/kg)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3138 (0 – 6000)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Biological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(1.7 – 4.7)</w:t>
            </w:r>
          </w:p>
        </w:tc>
      </w:tr>
      <w:tr>
        <w:trPr>
          <w:trHeight w:val="61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 (98 – 204)</w:t>
            </w:r>
          </w:p>
        </w:tc>
      </w:tr>
      <w:tr>
        <w:trPr>
          <w:trHeight w:val="62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 (12 – 40)</w:t>
            </w:r>
          </w:p>
        </w:tc>
      </w:tr>
      <w:tr>
        <w:trPr>
          <w:trHeight w:val="62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34364 (383 – 186316)</w:t>
            </w:r>
          </w:p>
        </w:tc>
      </w:tr>
      <w:tr>
        <w:trPr>
          <w:trHeight w:val="62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 (2248 – 26995)</w:t>
            </w:r>
          </w:p>
        </w:tc>
      </w:tr>
      <w:tr>
        <w:trPr>
          <w:trHeight w:val="619" w:hRule="auto"/>
        </w:trPr>
        body39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 (122 – 274)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(25th–75th)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2026-01-20T16:23:01Z</dcterms:modified>
  <cp:category/>
</cp:coreProperties>
</file>