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2a: Hemodynamic parameters on weaning day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9"/>
        <w:gridCol w:w="2496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[IQR]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 to weaning test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[4–10], n=31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flow (l)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[1.6–3], n=31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[0–25], n=31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Noradrenaline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[0–7.1], n=31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MAP_baseline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[72–80], n=31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[84.5–104], n=31</w:t>
            </w:r>
          </w:p>
        </w:tc>
      </w:tr>
      <w:tr>
        <w:trPr>
          <w:trHeight w:val="61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FEVG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[30–42.8], n=30</w:t>
            </w:r>
          </w:p>
        </w:tc>
      </w:tr>
      <w:tr>
        <w:trPr>
          <w:trHeight w:val="61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Mitral S' (cm/s)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[5.9–9], n=29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[0.8–1.4], n=30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2026-01-20T11:38:11Z</dcterms:modified>
  <cp:category/>
</cp:coreProperties>
</file>