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vertAlign w:val="superscript"/>
        </w:rPr>
        <w:t xml:space="preserve">1</w:t>
      </w:r>
    </w:p>
    <w:p>
      <w:pPr>
        <w:pStyle w:val="a0"/>
      </w:pPr>
      <w:r>
        <w:rPr>
          <w:vertAlign w:val="superscript"/>
        </w:rPr>
        <w:t xml:space="preserve">2</w:t>
      </w:r>
    </w:p>
    <w:p>
      <w:pPr>
        <w:pStyle w:val="a0"/>
      </w:pPr>
      <w:r>
        <w:rPr>
          <w:vertAlign w:val="superscript"/>
        </w:rPr>
        <w:t xml:space="preserve">3</w:t>
      </w:r>
    </w:p>
    <w:p>
      <w:pPr>
        <w:pStyle w:val="a0"/>
      </w:pPr>
      <w:r>
        <w:rPr>
          <w:vertAlign w:val="superscript"/>
        </w:rPr>
        <w:t xml:space="preserve">4</w:t>
      </w:r>
    </w:p>
    <w:p>
      <w:pPr>
        <w:pStyle w:val="a0"/>
      </w:pPr>
      <w:r>
        <w:rPr>
          <w:vertAlign w:val="superscript"/>
        </w:rPr>
        <w:t xml:space="preserve">5</w:t>
      </w:r>
    </w:p>
    <w:p>
      <w:pPr>
        <w:pStyle w:val="a0"/>
      </w:pPr>
      <w:r>
        <w:rPr>
          <w:vertAlign w:val="superscript"/>
        </w:rPr>
        <w:t xml:space="preserve">6</w:t>
      </w:r>
    </w:p>
    <w:p>
      <w:pPr>
        <w:pStyle w:val="a0"/>
      </w:pPr>
      <w:r>
        <w:rPr>
          <w:vertAlign w:val="superscript"/>
        </w:rPr>
        <w:t xml:space="preserve">7</w:t>
      </w:r>
    </w:p>
    <w:p>
      <w:pPr>
        <w:pStyle w:val="a0"/>
      </w:pPr>
      <w:r>
        <w:rPr>
          <w:vertAlign w:val="superscript"/>
        </w:rPr>
        <w:t xml:space="preserve">8</w:t>
      </w:r>
    </w:p>
    <w:p>
      <w:pPr>
        <w:pStyle w:val="a0"/>
      </w:pPr>
      <w:r>
        <w:rPr>
          <w:vertAlign w:val="superscript"/>
        </w:rPr>
        <w:t xml:space="preserve">9</w:t>
      </w:r>
    </w:p>
    <w:p>
      <w:pPr>
        <w:pStyle w:val="a0"/>
      </w:pPr>
      <w:r>
        <w:rPr>
          <w:vertAlign w:val="superscript"/>
        </w:rPr>
        <w:t xml:space="preserve">10</w:t>
      </w:r>
    </w:p>
    <w:p>
      <w:pPr>
        <w:pStyle w:val="a0"/>
      </w:pPr>
      <w:r>
        <w:rPr>
          <w:vertAlign w:val="superscript"/>
        </w:rPr>
        <w:t xml:space="preserve">11</w:t>
      </w:r>
    </w:p>
    <w:p>
      <w:pPr>
        <w:pStyle w:val="a0"/>
      </w:pPr>
      <w:r>
        <w:rPr>
          <w:vertAlign w:val="superscript"/>
        </w:rPr>
        <w:t xml:space="preserve">12</w:t>
      </w:r>
    </w:p>
    <w:p>
      <w:pPr>
        <w:pStyle w:val="a0"/>
      </w:pPr>
      <w:r>
        <w:rPr>
          <w:vertAlign w:val="superscript"/>
        </w:rPr>
        <w:t xml:space="preserve">13</w:t>
      </w:r>
    </w:p>
    <w:p>
      <w:pPr>
        <w:pStyle w:val="a0"/>
      </w:pPr>
      <w:r>
        <w:rPr>
          <w:vertAlign w:val="superscript"/>
        </w:rPr>
        <w:t xml:space="preserve">14</w:t>
      </w:r>
    </w:p>
    <w:p>
      <w:pPr>
        <w:pStyle w:val="a0"/>
      </w:pPr>
      <w:r>
        <w:rPr>
          <w:vertAlign w:val="superscript"/>
        </w:rPr>
        <w:t xml:space="preserve">15</w:t>
      </w:r>
    </w:p>
    <w:p>
      <w:pPr>
        <w:pStyle w:val="a0"/>
      </w:pPr>
      <w:r>
        <w:rPr>
          <w:vertAlign w:val="superscript"/>
        </w:rPr>
        <w:t xml:space="preserve">16</w:t>
      </w:r>
    </w:p>
    <w:p>
      <w:pPr>
        <w:pStyle w:val="a0"/>
      </w:pPr>
      <w:r>
        <w:rPr>
          <w:vertAlign w:val="superscript"/>
        </w:rPr>
        <w:t xml:space="preserve">17</w:t>
      </w:r>
    </w:p>
    <w:p>
      <w:pPr>
        <w:pStyle w:val="a0"/>
      </w:pPr>
      <w:r>
        <w:rPr>
          <w:vertAlign w:val="superscript"/>
        </w:rPr>
        <w:t xml:space="preserve">18</w:t>
      </w:r>
    </w:p>
    <w:p>
      <w:pPr>
        <w:pStyle w:val="a0"/>
      </w:pPr>
      <w:r>
        <w:t xml:space="preserve">REFERENCE</w:t>
      </w:r>
    </w:p>
    <w:bookmarkStart w:id="56" w:name="refs"/>
    <w:bookmarkStart w:id="21" w:name="ref-Suzuki2021"/>
    <w:p>
      <w:pPr>
        <w:pStyle w:val="ae"/>
      </w:pPr>
      <w:r>
        <w:t xml:space="preserve">1.</w:t>
      </w:r>
      <w:r>
        <w:t xml:space="preserve"> </w:t>
      </w:r>
      <w:r>
        <w:t xml:space="preserve">	</w:t>
      </w:r>
      <w:r>
        <w:t xml:space="preserve">Suzuki, S. R., Kuno, A. &amp; Ozaki, H.</w:t>
      </w:r>
      <w:r>
        <w:t xml:space="preserve"> </w:t>
      </w:r>
      <w:hyperlink r:id="rId20">
        <w:r>
          <w:rPr>
            <w:rStyle w:val="Hyperlink"/>
          </w:rPr>
          <w:t xml:space="preserve">Cell-to-cell interaction analysis of prognostic ligand-receptor pairs in human pancreatic ductal adenocarcinoma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Biochemistry and Biophysics Reports</w:t>
      </w:r>
      <w:r>
        <w:t xml:space="preserve"> </w:t>
      </w:r>
      <w:r>
        <w:rPr>
          <w:bCs/>
          <w:b/>
        </w:rPr>
        <w:t xml:space="preserve">28,</w:t>
      </w:r>
      <w:r>
        <w:t xml:space="preserve"> </w:t>
      </w:r>
      <w:r>
        <w:t xml:space="preserve">101126 (2021).</w:t>
      </w:r>
    </w:p>
    <w:bookmarkEnd w:id="21"/>
    <w:bookmarkStart w:id="23" w:name="ref-Yoshihara2021"/>
    <w:p>
      <w:pPr>
        <w:pStyle w:val="ae"/>
      </w:pPr>
      <w:r>
        <w:t xml:space="preserve">2.</w:t>
      </w:r>
      <w:r>
        <w:t xml:space="preserve"> </w:t>
      </w:r>
      <w:r>
        <w:t xml:space="preserve">	</w:t>
      </w:r>
      <w:r>
        <w:t xml:space="preserve">Yoshihara, M., Nishino, T., Yadav, M. K., Kuno, A., Nagata, T., Ando, H. &amp; Takahashi, S.</w:t>
      </w:r>
      <w:r>
        <w:t xml:space="preserve"> </w:t>
      </w:r>
      <w:hyperlink r:id="rId22">
        <w:r>
          <w:rPr>
            <w:rStyle w:val="Hyperlink"/>
          </w:rPr>
          <w:t xml:space="preserve">Mathematical analysis of the effect of portal vein cells on biliary epithelial cell differentiation through the delta-notch signaling pathway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BMC research notes</w:t>
      </w:r>
      <w:r>
        <w:t xml:space="preserve"> </w:t>
      </w:r>
      <w:r>
        <w:rPr>
          <w:bCs/>
          <w:b/>
        </w:rPr>
        <w:t xml:space="preserve">14,</w:t>
      </w:r>
      <w:r>
        <w:t xml:space="preserve"> </w:t>
      </w:r>
      <w:r>
        <w:t xml:space="preserve">(2021).</w:t>
      </w:r>
    </w:p>
    <w:bookmarkEnd w:id="23"/>
    <w:bookmarkStart w:id="25" w:name="ref-Okada2021"/>
    <w:p>
      <w:pPr>
        <w:pStyle w:val="ae"/>
      </w:pPr>
      <w:r>
        <w:t xml:space="preserve">3.</w:t>
      </w:r>
      <w:r>
        <w:t xml:space="preserve"> </w:t>
      </w:r>
      <w:r>
        <w:t xml:space="preserve">	</w:t>
      </w:r>
      <w:r>
        <w:t xml:space="preserve">Okada, R., Fujita, S.-I., Suzuki, R., Hayashi, T., Tsubouchi, H., Kato, C., Sadaki, S., Kanai, M., Fuseya, S., Inoue, Y., Jeon, H., Hamada, M., Kuno, A., Ishii, A., Tamaoka, A., Tanihata, J., Ito, N., Shiba, D., Shirakawa, M., Muratani, M., Kudo, T. &amp; Takahashi, S.</w:t>
      </w:r>
      <w:r>
        <w:t xml:space="preserve"> </w:t>
      </w:r>
      <w:hyperlink r:id="rId24">
        <w:r>
          <w:rPr>
            <w:rStyle w:val="Hyperlink"/>
          </w:rPr>
          <w:t xml:space="preserve">Transcriptome analysis of gravitational effects on mouse skeletal muscles under microgravity and artificial 1 g onboard environment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rPr>
          <w:bCs/>
          <w:b/>
        </w:rPr>
        <w:t xml:space="preserve">11,</w:t>
      </w:r>
      <w:r>
        <w:t xml:space="preserve"> </w:t>
      </w:r>
      <w:r>
        <w:t xml:space="preserve">(2021).</w:t>
      </w:r>
    </w:p>
    <w:bookmarkEnd w:id="25"/>
    <w:bookmarkStart w:id="27" w:name="ref-Osawa2021"/>
    <w:p>
      <w:pPr>
        <w:pStyle w:val="ae"/>
      </w:pPr>
      <w:r>
        <w:t xml:space="preserve">4.</w:t>
      </w:r>
      <w:r>
        <w:t xml:space="preserve"> </w:t>
      </w:r>
      <w:r>
        <w:t xml:space="preserve">	</w:t>
      </w:r>
      <w:r>
        <w:t xml:space="preserve">Osawa, Y., Murata, K., Usui, M., Kuba, Y., Le, H. T., Mikami, N., Nakagawa, T., Daitoku, Y., Kato, K., Shawki, H. H., Ikeda, Y., Kuno, A., Morimoto, K., Tanimoto, Y., Dinh, T. T. H., Yagami, K.-I., Ema, M., Yoshida, S., Takahashi, S., Mizuno, S. &amp; Sugiyama, F.</w:t>
      </w:r>
      <w:r>
        <w:t xml:space="preserve"> </w:t>
      </w:r>
      <w:hyperlink r:id="rId26">
        <w:r>
          <w:rPr>
            <w:rStyle w:val="Hyperlink"/>
          </w:rPr>
          <w:t xml:space="preserve">Exoc1 plays an integral role in spermatogonia pseudopod elongation and spermatocyte stable syncytium formation in mice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rPr>
          <w:bCs/>
          <w:b/>
        </w:rPr>
        <w:t xml:space="preserve">10,</w:t>
      </w:r>
      <w:r>
        <w:t xml:space="preserve"> </w:t>
      </w:r>
      <w:r>
        <w:t xml:space="preserve">(2021).</w:t>
      </w:r>
    </w:p>
    <w:bookmarkEnd w:id="27"/>
    <w:bookmarkStart w:id="29" w:name="ref-Susaki2020"/>
    <w:p>
      <w:pPr>
        <w:pStyle w:val="ae"/>
      </w:pPr>
      <w:r>
        <w:t xml:space="preserve">5.</w:t>
      </w:r>
      <w:r>
        <w:t xml:space="preserve"> </w:t>
      </w:r>
      <w:r>
        <w:t xml:space="preserve">	</w:t>
      </w:r>
      <w:r>
        <w:t xml:space="preserve">Susaki, E. A., Shimizu, C., Kuno, A., Tainaka, K., Li, X., Nishi, K., Morishima, K., Ono, H., Ode, K. L., Saeki, Y., Miyamichi, K., Isa, K., Yokoyama, C., Kitaura, H., Ikemura, M., Ushiku, T., Shimizu, Y., Saito, T., Saido, T. C., Fukayama, M., Onoe, H., Touhara, K., Isa, T., Kakita, A., Shibayama, M. &amp; Ueda, H. R.</w:t>
      </w:r>
      <w:r>
        <w:t xml:space="preserve"> </w:t>
      </w:r>
      <w:hyperlink r:id="rId28">
        <w:r>
          <w:rPr>
            <w:rStyle w:val="Hyperlink"/>
          </w:rPr>
          <w:t xml:space="preserve">Versatile whole-organ/body staining and imaging based on electrolyte-gel properties of biological tissues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rPr>
          <w:bCs/>
          <w:b/>
        </w:rPr>
        <w:t xml:space="preserve">11,</w:t>
      </w:r>
      <w:r>
        <w:t xml:space="preserve"> </w:t>
      </w:r>
      <w:r>
        <w:t xml:space="preserve">(2020).</w:t>
      </w:r>
    </w:p>
    <w:bookmarkEnd w:id="29"/>
    <w:bookmarkStart w:id="31" w:name="ref-Usui2020"/>
    <w:p>
      <w:pPr>
        <w:pStyle w:val="ae"/>
      </w:pPr>
      <w:r>
        <w:t xml:space="preserve">6.</w:t>
      </w:r>
      <w:r>
        <w:t xml:space="preserve"> </w:t>
      </w:r>
      <w:r>
        <w:t xml:space="preserve">	</w:t>
      </w:r>
      <w:r>
        <w:t xml:space="preserve">Usui, T., Morito, N., Shawki, H. H., Sato, Y., Tsukaguchi, H., Hamada, M., Jeon, H., Yadav, M. K., Kuno, A., Tsunakawa, Y., Okada, R., Ojima, T., Kanai, M., Asano, K., Imamura, Y., Koshida, R., Yoh, K., Usui, J., Yokoi, H., Kasahara, M., Yoshimura, A., Muratani, M., Kudo, T., Oishi, H., Yamagata, K. &amp; Takahashi, S.</w:t>
      </w:r>
      <w:r>
        <w:t xml:space="preserve"> </w:t>
      </w:r>
      <w:hyperlink r:id="rId30">
        <w:r>
          <w:rPr>
            <w:rStyle w:val="Hyperlink"/>
          </w:rPr>
          <w:t xml:space="preserve">Transcription factor MafB in podocytes protects against the development of focal segmental glomerulosclerosis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Kidney International</w:t>
      </w:r>
      <w:r>
        <w:t xml:space="preserve"> </w:t>
      </w:r>
      <w:r>
        <w:rPr>
          <w:bCs/>
          <w:b/>
        </w:rPr>
        <w:t xml:space="preserve">98,</w:t>
      </w:r>
      <w:r>
        <w:t xml:space="preserve"> </w:t>
      </w:r>
      <w:r>
        <w:t xml:space="preserve">(2020).</w:t>
      </w:r>
    </w:p>
    <w:bookmarkEnd w:id="31"/>
    <w:bookmarkStart w:id="33" w:name="ref-Deng2020"/>
    <w:p>
      <w:pPr>
        <w:pStyle w:val="ae"/>
      </w:pPr>
      <w:r>
        <w:t xml:space="preserve">7.</w:t>
      </w:r>
      <w:r>
        <w:t xml:space="preserve"> </w:t>
      </w:r>
      <w:r>
        <w:t xml:space="preserve">	</w:t>
      </w:r>
      <w:r>
        <w:t xml:space="preserve">Deng, Z., Matsumoto, Y., Kuno, A., Ojima, M., Xiafukaiti, G. &amp; Takahashi, S.</w:t>
      </w:r>
      <w:r>
        <w:t xml:space="preserve"> </w:t>
      </w:r>
      <w:hyperlink r:id="rId32">
        <w:r>
          <w:rPr>
            <w:rStyle w:val="Hyperlink"/>
          </w:rPr>
          <w:t xml:space="preserve">An inducible diabetes mellitus murine model based on mafb conditional knockout under mafa-deficient condition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 </w:t>
      </w:r>
      <w:r>
        <w:rPr>
          <w:bCs/>
          <w:b/>
        </w:rPr>
        <w:t xml:space="preserve">21,</w:t>
      </w:r>
      <w:r>
        <w:t xml:space="preserve"> </w:t>
      </w:r>
      <w:r>
        <w:t xml:space="preserve">(2020).</w:t>
      </w:r>
    </w:p>
    <w:bookmarkEnd w:id="33"/>
    <w:bookmarkStart w:id="35" w:name="ref-Chang2020"/>
    <w:p>
      <w:pPr>
        <w:pStyle w:val="ae"/>
      </w:pPr>
      <w:r>
        <w:t xml:space="preserve">8.</w:t>
      </w:r>
      <w:r>
        <w:t xml:space="preserve"> </w:t>
      </w:r>
      <w:r>
        <w:t xml:space="preserve">	</w:t>
      </w:r>
      <w:r>
        <w:t xml:space="preserve">Chang, Y.-H., Katoh, M. C., Abdellatif, A. M., Xiafukaiti, G., Elzeftawy, A., Ojima, M., Mizuno, S., Kuno, A. &amp; Takahashi, S.</w:t>
      </w:r>
      <w:r>
        <w:t xml:space="preserve"> </w:t>
      </w:r>
      <w:hyperlink r:id="rId34">
        <w:r>
          <w:rPr>
            <w:rStyle w:val="Hyperlink"/>
          </w:rPr>
          <w:t xml:space="preserve">Uncovering the role of MAFB in glucagon production and secretion in pancreatic α-cells using a new α-cell-specific mafb conditional knockout mouse model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Experimental Animals</w:t>
      </w:r>
      <w:r>
        <w:t xml:space="preserve"> </w:t>
      </w:r>
      <w:r>
        <w:rPr>
          <w:bCs/>
          <w:b/>
        </w:rPr>
        <w:t xml:space="preserve">69,</w:t>
      </w:r>
      <w:r>
        <w:t xml:space="preserve"> </w:t>
      </w:r>
      <w:r>
        <w:t xml:space="preserve">(2020).</w:t>
      </w:r>
    </w:p>
    <w:bookmarkEnd w:id="35"/>
    <w:bookmarkStart w:id="37" w:name="ref-Fujino2020"/>
    <w:p>
      <w:pPr>
        <w:pStyle w:val="ae"/>
      </w:pPr>
      <w:r>
        <w:t xml:space="preserve">9.</w:t>
      </w:r>
      <w:r>
        <w:t xml:space="preserve"> </w:t>
      </w:r>
      <w:r>
        <w:t xml:space="preserve">	</w:t>
      </w:r>
      <w:r>
        <w:t xml:space="preserve">Fujino, M., Tagami, A., Ojima, M., Mizuno, S., Abdellatif, A. M., Kuno, A. &amp; Takahashi, S.</w:t>
      </w:r>
      <w:r>
        <w:t xml:space="preserve"> </w:t>
      </w:r>
      <w:hyperlink r:id="rId36">
        <w:r>
          <w:rPr>
            <w:rStyle w:val="Hyperlink"/>
          </w:rPr>
          <w:t xml:space="preserve">C-MAF deletion in adult C57BL/6J mice induces cataract formation and abnormal differentiation of lens fiber cells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Experimental Animals</w:t>
      </w:r>
      <w:r>
        <w:t xml:space="preserve"> </w:t>
      </w:r>
      <w:r>
        <w:rPr>
          <w:bCs/>
          <w:b/>
        </w:rPr>
        <w:t xml:space="preserve">69,</w:t>
      </w:r>
      <w:r>
        <w:t xml:space="preserve"> </w:t>
      </w:r>
      <w:r>
        <w:t xml:space="preserve">(2020).</w:t>
      </w:r>
    </w:p>
    <w:bookmarkEnd w:id="37"/>
    <w:bookmarkStart w:id="39" w:name="ref-Kuno2019"/>
    <w:p>
      <w:pPr>
        <w:pStyle w:val="ae"/>
      </w:pPr>
      <w:r>
        <w:t xml:space="preserve">10.</w:t>
      </w:r>
      <w:r>
        <w:t xml:space="preserve"> </w:t>
      </w:r>
      <w:r>
        <w:t xml:space="preserve">	</w:t>
      </w:r>
      <w:r>
        <w:t xml:space="preserve">Kuno, A., Mizuno, S. &amp; Takahashi, S.</w:t>
      </w:r>
      <w:r>
        <w:t xml:space="preserve"> </w:t>
      </w:r>
      <w:hyperlink r:id="rId38">
        <w:r>
          <w:rPr>
            <w:rStyle w:val="Hyperlink"/>
          </w:rPr>
          <w:t xml:space="preserve">KOnezumi: A web application for automating gene disruption strategies to generate knockout mice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35,</w:t>
      </w:r>
      <w:r>
        <w:t xml:space="preserve"> </w:t>
      </w:r>
      <w:r>
        <w:t xml:space="preserve">(2019).</w:t>
      </w:r>
    </w:p>
    <w:bookmarkEnd w:id="39"/>
    <w:bookmarkStart w:id="41" w:name="ref-Xiafukaiti2019"/>
    <w:p>
      <w:pPr>
        <w:pStyle w:val="ae"/>
      </w:pPr>
      <w:r>
        <w:t xml:space="preserve">11.</w:t>
      </w:r>
      <w:r>
        <w:t xml:space="preserve"> </w:t>
      </w:r>
      <w:r>
        <w:t xml:space="preserve">	</w:t>
      </w:r>
      <w:r>
        <w:t xml:space="preserve">Xiafukaiti, G., Maimaiti, S., Ogata, K., Kuno, A., Kudo, T., Shawki, H. H., Oishi, H. &amp; Takahashia, S.</w:t>
      </w:r>
      <w:r>
        <w:t xml:space="preserve"> </w:t>
      </w:r>
      <w:hyperlink r:id="rId40">
        <w:r>
          <w:rPr>
            <w:rStyle w:val="Hyperlink"/>
          </w:rPr>
          <w:t xml:space="preserve">MafB is important for pancreatic -cell maintenance under a MafA-deficient condition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Molecular and Cellular Biology</w:t>
      </w:r>
      <w:r>
        <w:t xml:space="preserve"> </w:t>
      </w:r>
      <w:r>
        <w:rPr>
          <w:bCs/>
          <w:b/>
        </w:rPr>
        <w:t xml:space="preserve">39,</w:t>
      </w:r>
      <w:r>
        <w:t xml:space="preserve"> </w:t>
      </w:r>
      <w:r>
        <w:t xml:space="preserve">(2019).</w:t>
      </w:r>
    </w:p>
    <w:bookmarkEnd w:id="41"/>
    <w:bookmarkStart w:id="43" w:name="ref-Shawki2019"/>
    <w:p>
      <w:pPr>
        <w:pStyle w:val="ae"/>
      </w:pPr>
      <w:r>
        <w:t xml:space="preserve">12.</w:t>
      </w:r>
      <w:r>
        <w:t xml:space="preserve"> </w:t>
      </w:r>
      <w:r>
        <w:t xml:space="preserve">	</w:t>
      </w:r>
      <w:r>
        <w:t xml:space="preserve">Shawki, H. H., Ishikawa-Yamauchi, Y., Kawashima, A., Katoh, Y., Matsuda, M., Al-Soudy, A.-S., Minisy, F. M., Kuno, A., Gulibaikelamu, X., Hirokawa, T., Takahashi, S. &amp; Oishi, H.</w:t>
      </w:r>
      <w:r>
        <w:t xml:space="preserve"> </w:t>
      </w:r>
      <w:hyperlink r:id="rId42">
        <w:r>
          <w:rPr>
            <w:rStyle w:val="Hyperlink"/>
          </w:rPr>
          <w:t xml:space="preserve">EFCAB2 is a novel calcium-binding protein in mouse testis and sperm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14,</w:t>
      </w:r>
      <w:r>
        <w:t xml:space="preserve"> </w:t>
      </w:r>
      <w:r>
        <w:t xml:space="preserve">(2019).</w:t>
      </w:r>
    </w:p>
    <w:bookmarkEnd w:id="43"/>
    <w:bookmarkStart w:id="45" w:name="ref-Chang2019"/>
    <w:p>
      <w:pPr>
        <w:pStyle w:val="ae"/>
      </w:pPr>
      <w:r>
        <w:t xml:space="preserve">13.</w:t>
      </w:r>
      <w:r>
        <w:t xml:space="preserve"> </w:t>
      </w:r>
      <w:r>
        <w:t xml:space="preserve">	</w:t>
      </w:r>
      <w:r>
        <w:t xml:space="preserve">Chang, Y.-H., Nishimura, S., Oishi, H., Kelly, V. P., Kuno, A. &amp; Takahashi, S.</w:t>
      </w:r>
      <w:r>
        <w:t xml:space="preserve"> </w:t>
      </w:r>
      <w:hyperlink r:id="rId44">
        <w:r>
          <w:rPr>
            <w:rStyle w:val="Hyperlink"/>
          </w:rPr>
          <w:t xml:space="preserve">TRMT2A is a novel cell cycle regulator that suppresses cell proliferation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Biochemical and Biophysical Research Communications</w:t>
      </w:r>
      <w:r>
        <w:t xml:space="preserve"> </w:t>
      </w:r>
      <w:r>
        <w:rPr>
          <w:bCs/>
          <w:b/>
        </w:rPr>
        <w:t xml:space="preserve">508,</w:t>
      </w:r>
      <w:r>
        <w:t xml:space="preserve"> </w:t>
      </w:r>
      <w:r>
        <w:t xml:space="preserve">(2019).</w:t>
      </w:r>
    </w:p>
    <w:bookmarkEnd w:id="45"/>
    <w:bookmarkStart w:id="47" w:name="ref-Katoh2018"/>
    <w:p>
      <w:pPr>
        <w:pStyle w:val="ae"/>
      </w:pPr>
      <w:r>
        <w:t xml:space="preserve">14.</w:t>
      </w:r>
      <w:r>
        <w:t xml:space="preserve"> </w:t>
      </w:r>
      <w:r>
        <w:t xml:space="preserve">	</w:t>
      </w:r>
      <w:r>
        <w:t xml:space="preserve">Katoh, M. C., Jung, Y., Ugboma, C. M., Shimbo, M., Kuno, A., Basha, W. A., Kudo, T., Oishi, H. &amp; Takahashib, S.</w:t>
      </w:r>
      <w:r>
        <w:t xml:space="preserve"> </w:t>
      </w:r>
      <w:hyperlink r:id="rId46">
        <w:r>
          <w:rPr>
            <w:rStyle w:val="Hyperlink"/>
          </w:rPr>
          <w:t xml:space="preserve">MafB is critical for glucagon production and secretion in mouse pancreatic α cells in vivo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Molecular and Cellular Biology</w:t>
      </w:r>
      <w:r>
        <w:t xml:space="preserve"> </w:t>
      </w:r>
      <w:r>
        <w:rPr>
          <w:bCs/>
          <w:b/>
        </w:rPr>
        <w:t xml:space="preserve">38,</w:t>
      </w:r>
      <w:r>
        <w:t xml:space="preserve"> </w:t>
      </w:r>
      <w:r>
        <w:t xml:space="preserve">(2018).</w:t>
      </w:r>
    </w:p>
    <w:bookmarkEnd w:id="47"/>
    <w:bookmarkStart w:id="49" w:name="ref-Wakui2018"/>
    <w:p>
      <w:pPr>
        <w:pStyle w:val="ae"/>
      </w:pPr>
      <w:r>
        <w:t xml:space="preserve">15.</w:t>
      </w:r>
      <w:r>
        <w:t xml:space="preserve"> </w:t>
      </w:r>
      <w:r>
        <w:t xml:space="preserve">	</w:t>
      </w:r>
      <w:r>
        <w:t xml:space="preserve">Wakui, H., Fuseya, S., Suzuki, R., Shimbo, M., Okada, R., Hamada, M., Kuno, A., Hagiwara, K., Sato, T., Narimatsu, H., Kudo, T. &amp; Takahashi, S.</w:t>
      </w:r>
      <w:r>
        <w:t xml:space="preserve"> </w:t>
      </w:r>
      <w:hyperlink r:id="rId48">
        <w:r>
          <w:rPr>
            <w:rStyle w:val="Hyperlink"/>
          </w:rPr>
          <w:t xml:space="preserve">Incomplete clearance of apoptotic cells by core 1-derived o-glycan-deficient resident peritoneal macrophages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Biochemical and Biophysical Research Communications</w:t>
      </w:r>
      <w:r>
        <w:t xml:space="preserve"> </w:t>
      </w:r>
      <w:r>
        <w:rPr>
          <w:bCs/>
          <w:b/>
        </w:rPr>
        <w:t xml:space="preserve">495,</w:t>
      </w:r>
      <w:r>
        <w:t xml:space="preserve"> </w:t>
      </w:r>
      <w:r>
        <w:t xml:space="preserve">(2018).</w:t>
      </w:r>
    </w:p>
    <w:bookmarkEnd w:id="49"/>
    <w:bookmarkStart w:id="51" w:name="ref-Kuno2018"/>
    <w:p>
      <w:pPr>
        <w:pStyle w:val="ae"/>
      </w:pPr>
      <w:r>
        <w:t xml:space="preserve">16.</w:t>
      </w:r>
      <w:r>
        <w:t xml:space="preserve"> </w:t>
      </w:r>
      <w:r>
        <w:t xml:space="preserve">	</w:t>
      </w:r>
      <w:r>
        <w:t xml:space="preserve">Kuno, A., Nishimura, K. &amp; Takahashi, S.</w:t>
      </w:r>
      <w:r>
        <w:t xml:space="preserve"> </w:t>
      </w:r>
      <w:hyperlink r:id="rId50">
        <w:r>
          <w:rPr>
            <w:rStyle w:val="Hyperlink"/>
          </w:rPr>
          <w:t xml:space="preserve">Time-course transcriptome analysis of human cellular reprogramming from multiple cell types reveals the drastic change occurs between the mid phase and the late phase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BMC Genomics</w:t>
      </w:r>
      <w:r>
        <w:t xml:space="preserve"> </w:t>
      </w:r>
      <w:r>
        <w:rPr>
          <w:bCs/>
          <w:b/>
        </w:rPr>
        <w:t xml:space="preserve">19,</w:t>
      </w:r>
      <w:r>
        <w:t xml:space="preserve"> </w:t>
      </w:r>
      <w:r>
        <w:t xml:space="preserve">(2018).</w:t>
      </w:r>
    </w:p>
    <w:bookmarkEnd w:id="51"/>
    <w:bookmarkStart w:id="53" w:name="ref-Susaki2015"/>
    <w:p>
      <w:pPr>
        <w:pStyle w:val="ae"/>
      </w:pPr>
      <w:r>
        <w:t xml:space="preserve">17.</w:t>
      </w:r>
      <w:r>
        <w:t xml:space="preserve"> </w:t>
      </w:r>
      <w:r>
        <w:t xml:space="preserve">	</w:t>
      </w:r>
      <w:r>
        <w:t xml:space="preserve">Susaki, E. A., Tainaka, K., Perrin, D., Yukinaga, H., Kuno, A. &amp; Ueda, H. R.</w:t>
      </w:r>
      <w:r>
        <w:t xml:space="preserve"> </w:t>
      </w:r>
      <w:hyperlink r:id="rId52">
        <w:r>
          <w:rPr>
            <w:rStyle w:val="Hyperlink"/>
          </w:rPr>
          <w:t xml:space="preserve">Advanced CUBIC protocols for whole-brain and whole-body clearing and imaging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Protocols</w:t>
      </w:r>
      <w:r>
        <w:t xml:space="preserve"> </w:t>
      </w:r>
      <w:r>
        <w:rPr>
          <w:bCs/>
          <w:b/>
        </w:rPr>
        <w:t xml:space="preserve">10,</w:t>
      </w:r>
      <w:r>
        <w:t xml:space="preserve"> </w:t>
      </w:r>
      <w:r>
        <w:t xml:space="preserve">(2015).</w:t>
      </w:r>
    </w:p>
    <w:bookmarkEnd w:id="53"/>
    <w:bookmarkStart w:id="55" w:name="ref-Kanemoto2014"/>
    <w:p>
      <w:pPr>
        <w:pStyle w:val="ae"/>
      </w:pPr>
      <w:r>
        <w:t xml:space="preserve">18.</w:t>
      </w:r>
      <w:r>
        <w:t xml:space="preserve"> </w:t>
      </w:r>
      <w:r>
        <w:t xml:space="preserve">	</w:t>
      </w:r>
      <w:r>
        <w:t xml:space="preserve">Kanemoto, A., Hirayama, R., Moritake, T., Furusawa, Y., Sun, L., Sakae, T., Kuno, A., Terunuma, T., Yasuoka, K., Mori, Y., Tsuboi, K. &amp; Sakurai, H.</w:t>
      </w:r>
      <w:r>
        <w:t xml:space="preserve"> </w:t>
      </w:r>
      <w:hyperlink r:id="rId54">
        <w:r>
          <w:rPr>
            <w:rStyle w:val="Hyperlink"/>
          </w:rPr>
          <w:t xml:space="preserve">RBE and OER within the spread-out bragg peak for proton beam therapy: In vitro study at the proton medical research center at the university of tsukuba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Radiation Research</w:t>
      </w:r>
      <w:r>
        <w:t xml:space="preserve"> </w:t>
      </w:r>
      <w:r>
        <w:rPr>
          <w:bCs/>
          <w:b/>
        </w:rPr>
        <w:t xml:space="preserve">55,</w:t>
      </w:r>
      <w:r>
        <w:t xml:space="preserve"> </w:t>
      </w:r>
      <w:r>
        <w:t xml:space="preserve">(2014).</w:t>
      </w:r>
    </w:p>
    <w:bookmarkEnd w:id="55"/>
    <w:bookmarkEnd w:id="56"/>
    <w:sectPr w:rsidR="00632D7E">
      <w:pgSz w:h="15840" w:w="12240"/>
      <w:pgMar w:bottom="1440" w:footer="0" w:gutter="0" w:header="0" w:left="1800" w:right="1800" w:top="1440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="ＭＳ 明朝" w:hAnsiTheme="minorHAnsi"/>
        <w:sz w:val="24"/>
        <w:szCs w:val="24"/>
        <w:lang w:bidi="ar-SA" w:eastAsia="en-US" w:val="en-US"/>
      </w:rPr>
    </w:rPrDefault>
    <w:pPrDefault/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pPr>
      <w:spacing w:after="200"/>
    </w:pPr>
    <w:rPr>
      <w:rFonts w:ascii="Times New Roman" w:eastAsiaTheme="minorHAnsi" w:hAnsi="Times New Roman"/>
    </w:rPr>
  </w:style>
  <w:style w:styleId="1" w:type="paragraph">
    <w:name w:val="heading 1"/>
    <w:basedOn w:val="a"/>
    <w:next w:val="a0"/>
    <w:uiPriority w:val="9"/>
    <w:qFormat/>
    <w:rsid w:val="00B434A3"/>
    <w:pPr>
      <w:keepNext/>
      <w:keepLines/>
      <w:spacing w:after="120" w:before="120" w:line="360" w:lineRule="auto"/>
      <w:outlineLvl w:val="0"/>
    </w:pPr>
    <w:rPr>
      <w:rFonts w:cstheme="majorBidi" w:eastAsia="Times New Roman"/>
      <w:b/>
      <w:bCs/>
      <w:color w:val="000000"/>
      <w:sz w:val="36"/>
      <w:szCs w:val="40"/>
    </w:rPr>
  </w:style>
  <w:style w:styleId="2" w:type="paragraph">
    <w:name w:val="heading 2"/>
    <w:basedOn w:val="a"/>
    <w:next w:val="a0"/>
    <w:uiPriority w:val="9"/>
    <w:unhideWhenUsed/>
    <w:qFormat/>
    <w:rsid w:val="00B434A3"/>
    <w:pPr>
      <w:keepNext/>
      <w:keepLines/>
      <w:spacing w:after="120" w:before="120" w:line="360" w:lineRule="auto"/>
      <w:outlineLvl w:val="1"/>
    </w:pPr>
    <w:rPr>
      <w:rFonts w:cstheme="majorBidi" w:eastAsia="Times New Roman"/>
      <w:b/>
      <w:bCs/>
      <w:color w:val="000000"/>
      <w:sz w:val="28"/>
      <w:szCs w:val="32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color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a4" w:type="character">
    <w:name w:val="図表番号 (文字)"/>
    <w:basedOn w:val="a1"/>
    <w:link w:val="a5"/>
    <w:qFormat/>
  </w:style>
  <w:style w:customStyle="1" w:styleId="VerbatimChar" w:type="character">
    <w:name w:val="Verbatim Char"/>
    <w:basedOn w:val="a4"/>
    <w:qFormat/>
    <w:rPr>
      <w:rFonts w:ascii="Consolas" w:hAnsi="Consolas"/>
      <w:sz w:val="22"/>
    </w:rPr>
  </w:style>
  <w:style w:customStyle="1" w:styleId="a6" w:type="character">
    <w:name w:val="脚注参照番号"/>
    <w:rPr>
      <w:vertAlign w:val="superscript"/>
    </w:rPr>
  </w:style>
  <w:style w:customStyle="1" w:styleId="FootnoteCharacters" w:type="character">
    <w:name w:val="Footnote Characters"/>
    <w:basedOn w:val="a4"/>
    <w:qFormat/>
    <w:rPr>
      <w:vertAlign w:val="superscript"/>
    </w:rPr>
  </w:style>
  <w:style w:customStyle="1" w:styleId="a7" w:type="character">
    <w:name w:val="インターネットリンク"/>
    <w:basedOn w:val="a4"/>
    <w:rPr>
      <w:color w:themeColor="accent1" w:val="4F81BD"/>
    </w:rPr>
  </w:style>
  <w:style w:customStyle="1" w:styleId="a8" w:type="paragraph">
    <w:name w:val="見出し"/>
    <w:basedOn w:val="a"/>
    <w:next w:val="a0"/>
    <w:qFormat/>
    <w:pPr>
      <w:keepNext/>
      <w:spacing w:after="120" w:before="240"/>
    </w:pPr>
    <w:rPr>
      <w:rFonts w:ascii="Liberation Sans" w:cs="Lohit Devanagari" w:eastAsia="Noto Sans CJK JP Regular" w:hAnsi="Liberation Sans"/>
      <w:sz w:val="28"/>
      <w:szCs w:val="28"/>
    </w:rPr>
  </w:style>
  <w:style w:styleId="a0" w:type="paragraph">
    <w:name w:val="Body Text"/>
    <w:basedOn w:val="a"/>
    <w:qFormat/>
    <w:rsid w:val="00B434A3"/>
    <w:pPr>
      <w:spacing w:after="180" w:before="180" w:line="360" w:lineRule="auto"/>
      <w:jc w:val="both"/>
    </w:pPr>
    <w:rPr>
      <w:rFonts w:eastAsia="Times New Roman"/>
      <w:sz w:val="21"/>
    </w:rPr>
  </w:style>
  <w:style w:styleId="a9" w:type="paragraph">
    <w:name w:val="List"/>
    <w:basedOn w:val="a0"/>
    <w:rPr>
      <w:rFonts w:cs="Lohit Devanagari"/>
    </w:rPr>
  </w:style>
  <w:style w:styleId="a5" w:type="paragraph">
    <w:name w:val="caption"/>
    <w:basedOn w:val="a"/>
    <w:link w:val="a4"/>
    <w:qFormat/>
    <w:pPr>
      <w:spacing w:after="120"/>
    </w:pPr>
    <w:rPr>
      <w:i/>
    </w:rPr>
  </w:style>
  <w:style w:customStyle="1" w:styleId="aa" w:type="paragraph">
    <w:name w:val="索引"/>
    <w:basedOn w:val="a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b" w:type="paragraph">
    <w:name w:val="Title"/>
    <w:basedOn w:val="a"/>
    <w:next w:val="a0"/>
    <w:qFormat/>
    <w:rsid w:val="00B434A3"/>
    <w:pPr>
      <w:keepNext/>
      <w:keepLines/>
      <w:spacing w:after="240" w:before="480" w:line="360" w:lineRule="auto"/>
      <w:jc w:val="both"/>
    </w:pPr>
    <w:rPr>
      <w:rFonts w:cstheme="majorBidi" w:eastAsia="Times New Roman"/>
      <w:b/>
      <w:bCs/>
      <w:color w:val="000000"/>
      <w:sz w:val="44"/>
      <w:szCs w:val="44"/>
    </w:rPr>
  </w:style>
  <w:style w:styleId="ac" w:type="paragraph">
    <w:name w:val="Subtitle"/>
    <w:basedOn w:val="ab"/>
    <w:next w:val="a0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  <w:rPr>
      <w:rFonts w:eastAsiaTheme="minorHAnsi"/>
    </w:rPr>
  </w:style>
  <w:style w:styleId="ad" w:type="paragraph">
    <w:name w:val="Date"/>
    <w:next w:val="a0"/>
    <w:qFormat/>
    <w:pPr>
      <w:keepNext/>
      <w:keepLines/>
      <w:jc w:val="center"/>
    </w:pPr>
    <w:rPr>
      <w:rFonts w:eastAsiaTheme="minorHAnsi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e" w:type="paragraph">
    <w:name w:val="Bibliography"/>
    <w:basedOn w:val="a"/>
    <w:qFormat/>
  </w:style>
  <w:style w:styleId="af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f0" w:type="paragraph">
    <w:name w:val="footnote text"/>
    <w:basedOn w:val="a"/>
    <w:uiPriority w:val="9"/>
    <w:unhideWhenUsed/>
    <w:qFormat/>
  </w:style>
  <w:style w:customStyle="1" w:styleId="DefinitionTerm" w:type="paragraph">
    <w:name w:val="Definition Term"/>
    <w:basedOn w:val="a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qFormat/>
  </w:style>
  <w:style w:customStyle="1" w:styleId="TableCaption" w:type="paragraph">
    <w:name w:val="Table Caption"/>
    <w:basedOn w:val="a5"/>
    <w:qFormat/>
    <w:pPr>
      <w:keepNext/>
    </w:pPr>
  </w:style>
  <w:style w:customStyle="1" w:styleId="ImageCaption" w:type="paragraph">
    <w:name w:val="Image Caption"/>
    <w:basedOn w:val="a5"/>
    <w:qFormat/>
  </w:style>
  <w:style w:customStyle="1" w:styleId="Figure" w:type="paragraph">
    <w:name w:val="Figure"/>
    <w:basedOn w:val="a"/>
    <w:qFormat/>
  </w:style>
  <w:style w:customStyle="1" w:styleId="FigurewithCaption" w:type="paragraph">
    <w:name w:val="Figure with Caption"/>
    <w:basedOn w:val="Figure"/>
    <w:qFormat/>
    <w:pPr>
      <w:keepNext/>
    </w:pPr>
  </w:style>
  <w:style w:styleId="af1" w:type="paragraph">
    <w:name w:val="TOC Heading"/>
    <w:basedOn w:val="1"/>
    <w:next w:val="a0"/>
    <w:uiPriority w:val="39"/>
    <w:unhideWhenUsed/>
    <w:qFormat/>
    <w:pPr>
      <w:spacing w:after="0" w:before="240" w:line="259" w:lineRule="auto"/>
    </w:pPr>
    <w:rPr>
      <w:rFonts w:asciiTheme="majorHAnsi" w:eastAsiaTheme="majorEastAsia" w:hAnsiTheme="majorHAnsi"/>
      <w:b w:val="0"/>
      <w:bCs w:val="0"/>
      <w:color w:themeColor="accent1" w:themeShade="BF" w:val="365F91"/>
    </w:rPr>
  </w:style>
  <w:style w:styleId="af2" w:type="paragraph">
    <w:name w:val="header"/>
    <w:basedOn w:val="a"/>
    <w:link w:val="af3"/>
    <w:unhideWhenUsed/>
    <w:rsid w:val="00B434A3"/>
    <w:pPr>
      <w:tabs>
        <w:tab w:pos="4252" w:val="center"/>
        <w:tab w:pos="8504" w:val="right"/>
      </w:tabs>
      <w:snapToGrid w:val="0"/>
    </w:pPr>
  </w:style>
  <w:style w:customStyle="1" w:styleId="af3" w:type="character">
    <w:name w:val="ヘッダー (文字)"/>
    <w:basedOn w:val="a1"/>
    <w:link w:val="af2"/>
    <w:rsid w:val="00B434A3"/>
    <w:rPr>
      <w:rFonts w:ascii="Times New Roman" w:eastAsiaTheme="minorHAnsi" w:hAnsi="Times New Roman"/>
    </w:rPr>
  </w:style>
  <w:style w:styleId="af4" w:type="paragraph">
    <w:name w:val="footer"/>
    <w:basedOn w:val="a"/>
    <w:link w:val="af5"/>
    <w:unhideWhenUsed/>
    <w:rsid w:val="00B434A3"/>
    <w:pPr>
      <w:tabs>
        <w:tab w:pos="4252" w:val="center"/>
        <w:tab w:pos="8504" w:val="right"/>
      </w:tabs>
      <w:snapToGrid w:val="0"/>
    </w:pPr>
  </w:style>
  <w:style w:customStyle="1" w:styleId="af5" w:type="character">
    <w:name w:val="フッター (文字)"/>
    <w:basedOn w:val="a1"/>
    <w:link w:val="af4"/>
    <w:rsid w:val="00B434A3"/>
    <w:rPr>
      <w:rFonts w:ascii="Times New Roman" w:eastAsiaTheme="minorHAnsi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doi.org/10.1016/j.bbrc.2017.12.066" TargetMode="External" /><Relationship Type="http://schemas.openxmlformats.org/officeDocument/2006/relationships/hyperlink" Id="rId44" Target="https://doi.org/10.1016/j.bbrc.2018.11.104" TargetMode="External" /><Relationship Type="http://schemas.openxmlformats.org/officeDocument/2006/relationships/hyperlink" Id="rId20" Target="https://doi.org/10.1016/j.bbrep.2021.101126" TargetMode="External" /><Relationship Type="http://schemas.openxmlformats.org/officeDocument/2006/relationships/hyperlink" Id="rId30" Target="https://doi.org/10.1016/j.kint.2020.02.038" TargetMode="External" /><Relationship Type="http://schemas.openxmlformats.org/officeDocument/2006/relationships/hyperlink" Id="rId52" Target="https://doi.org/10.1038/nprot.2015.085" TargetMode="External" /><Relationship Type="http://schemas.openxmlformats.org/officeDocument/2006/relationships/hyperlink" Id="rId28" Target="https://doi.org/10.1038/s41467-020-15906-5" TargetMode="External" /><Relationship Type="http://schemas.openxmlformats.org/officeDocument/2006/relationships/hyperlink" Id="rId24" Target="https://doi.org/10.1038/s41598-021-88392-4" TargetMode="External" /><Relationship Type="http://schemas.openxmlformats.org/officeDocument/2006/relationships/hyperlink" Id="rId38" Target="https://doi.org/10.1093/bioinformatics/btz090" TargetMode="External" /><Relationship Type="http://schemas.openxmlformats.org/officeDocument/2006/relationships/hyperlink" Id="rId54" Target="https://doi.org/10.1093/jrr/rru043" TargetMode="External" /><Relationship Type="http://schemas.openxmlformats.org/officeDocument/2006/relationships/hyperlink" Id="rId40" Target="https://doi.org/10.1128/MCB.00080-19" TargetMode="External" /><Relationship Type="http://schemas.openxmlformats.org/officeDocument/2006/relationships/hyperlink" Id="rId46" Target="https://doi.org/10.1128/MCB.00504-17" TargetMode="External" /><Relationship Type="http://schemas.openxmlformats.org/officeDocument/2006/relationships/hyperlink" Id="rId50" Target="https://doi.org/10.1186/s12864-017-4389-8" TargetMode="External" /><Relationship Type="http://schemas.openxmlformats.org/officeDocument/2006/relationships/hyperlink" Id="rId22" Target="https://doi.org/10.1186/s13104-021-05656-y" TargetMode="External" /><Relationship Type="http://schemas.openxmlformats.org/officeDocument/2006/relationships/hyperlink" Id="rId42" Target="https://doi.org/10.1371/journal.pone.0214687" TargetMode="External" /><Relationship Type="http://schemas.openxmlformats.org/officeDocument/2006/relationships/hyperlink" Id="rId34" Target="https://doi.org/10.1538/expanim.19-0105" TargetMode="External" /><Relationship Type="http://schemas.openxmlformats.org/officeDocument/2006/relationships/hyperlink" Id="rId36" Target="https://doi.org/10.1538/expanim.19-0137" TargetMode="External" /><Relationship Type="http://schemas.openxmlformats.org/officeDocument/2006/relationships/hyperlink" Id="rId32" Target="https://doi.org/10.3390/ijms21165606" TargetMode="External" /><Relationship Type="http://schemas.openxmlformats.org/officeDocument/2006/relationships/hyperlink" Id="rId26" Target="https://doi.org/10.7554/eLife.597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10.1016/j.bbrc.2017.12.066" TargetMode="External" /><Relationship Type="http://schemas.openxmlformats.org/officeDocument/2006/relationships/hyperlink" Id="rId44" Target="https://doi.org/10.1016/j.bbrc.2018.11.104" TargetMode="External" /><Relationship Type="http://schemas.openxmlformats.org/officeDocument/2006/relationships/hyperlink" Id="rId20" Target="https://doi.org/10.1016/j.bbrep.2021.101126" TargetMode="External" /><Relationship Type="http://schemas.openxmlformats.org/officeDocument/2006/relationships/hyperlink" Id="rId30" Target="https://doi.org/10.1016/j.kint.2020.02.038" TargetMode="External" /><Relationship Type="http://schemas.openxmlformats.org/officeDocument/2006/relationships/hyperlink" Id="rId52" Target="https://doi.org/10.1038/nprot.2015.085" TargetMode="External" /><Relationship Type="http://schemas.openxmlformats.org/officeDocument/2006/relationships/hyperlink" Id="rId28" Target="https://doi.org/10.1038/s41467-020-15906-5" TargetMode="External" /><Relationship Type="http://schemas.openxmlformats.org/officeDocument/2006/relationships/hyperlink" Id="rId24" Target="https://doi.org/10.1038/s41598-021-88392-4" TargetMode="External" /><Relationship Type="http://schemas.openxmlformats.org/officeDocument/2006/relationships/hyperlink" Id="rId38" Target="https://doi.org/10.1093/bioinformatics/btz090" TargetMode="External" /><Relationship Type="http://schemas.openxmlformats.org/officeDocument/2006/relationships/hyperlink" Id="rId54" Target="https://doi.org/10.1093/jrr/rru043" TargetMode="External" /><Relationship Type="http://schemas.openxmlformats.org/officeDocument/2006/relationships/hyperlink" Id="rId40" Target="https://doi.org/10.1128/MCB.00080-19" TargetMode="External" /><Relationship Type="http://schemas.openxmlformats.org/officeDocument/2006/relationships/hyperlink" Id="rId46" Target="https://doi.org/10.1128/MCB.00504-17" TargetMode="External" /><Relationship Type="http://schemas.openxmlformats.org/officeDocument/2006/relationships/hyperlink" Id="rId50" Target="https://doi.org/10.1186/s12864-017-4389-8" TargetMode="External" /><Relationship Type="http://schemas.openxmlformats.org/officeDocument/2006/relationships/hyperlink" Id="rId22" Target="https://doi.org/10.1186/s13104-021-05656-y" TargetMode="External" /><Relationship Type="http://schemas.openxmlformats.org/officeDocument/2006/relationships/hyperlink" Id="rId42" Target="https://doi.org/10.1371/journal.pone.0214687" TargetMode="External" /><Relationship Type="http://schemas.openxmlformats.org/officeDocument/2006/relationships/hyperlink" Id="rId34" Target="https://doi.org/10.1538/expanim.19-0105" TargetMode="External" /><Relationship Type="http://schemas.openxmlformats.org/officeDocument/2006/relationships/hyperlink" Id="rId36" Target="https://doi.org/10.1538/expanim.19-0137" TargetMode="External" /><Relationship Type="http://schemas.openxmlformats.org/officeDocument/2006/relationships/hyperlink" Id="rId32" Target="https://doi.org/10.3390/ijms21165606" TargetMode="External" /><Relationship Type="http://schemas.openxmlformats.org/officeDocument/2006/relationships/hyperlink" Id="rId26" Target="https://doi.org/10.7554/eLife.597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2021-11-18T07:59:51Z</dcterms:created>
  <dcterms:modified xsi:type="dcterms:W3CDTF">2021-11-18T07:59:51Z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example/export.bib</vt:lpwstr>
  </property>
  <property fmtid="{D5CDD505-2E9C-101B-9397-08002B2CF9AE}" pid="3" name="csl">
    <vt:lpwstr>example/nature-no-et-al.csl.txt</vt:lpwstr>
  </property>
</Properties>
</file>