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A5F"/>
          <w:sz w:val="40"/>
          <w:szCs w:val="40"/>
        </w:rPr>
        <w:t xml:space="preserve">Viva Marking Sheet</w:t>
      </w:r>
    </w:p>
    <w:p>
      <w:pPr>
        <w:spacing w:after="60"/>
        <w:jc w:val="center"/>
      </w:pPr>
      <w:r>
        <w:rPr>
          <w:rFonts w:ascii="Calibri" w:cs="Calibri" w:eastAsia="Calibri" w:hAnsi="Calibri"/>
          <w:sz w:val="22"/>
          <w:szCs w:val="22"/>
        </w:rPr>
        <w:t xml:space="preserve">Examiner marking for validation of the automated Viva Assessment System</w:t>
      </w:r>
    </w:p>
    <w:p>
      <w:pPr>
        <w:spacing w:after="60"/>
        <w:jc w:val="center"/>
      </w:pPr>
      <w:r>
        <w:rPr>
          <w:rFonts w:ascii="Calibri" w:cs="Calibri" w:eastAsia="Calibri" w:hAnsi="Calibri"/>
          <w:color w:val="595959"/>
          <w:sz w:val="18"/>
          <w:szCs w:val="18"/>
        </w:rPr>
        <w:t xml:space="preserve">R26-SE-025  |  SLIIT  |  Student: B.K.H.M.B.L. Herath (IT22557056)</w:t>
      </w:r>
    </w:p>
    <w:p>
      <w:pPr>
        <w:pBdr>
          <w:bottom w:val="single" w:color="1F3A5F" w:sz="6" w:space="1"/>
        </w:pBd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2633"/>
        <w:gridCol w:w="2600"/>
        <w:gridCol w:w="2633"/>
      </w:tblGrid>
      <w:tr>
        <w:trPr>
          <w:cantSplit/>
          <w:tblHeader/>
        </w:trPr>
        <w:tc>
          <w:tcPr>
            <w:tcW w:type="dxa" w:w="2600"/>
            <w:tcBorders>
              <w:top w:val="single" w:color="808080" w:sz="4"/>
              <w:left w:val="single" w:color="808080" w:sz="4"/>
              <w:bottom w:val="single" w:color="808080" w:sz="4"/>
              <w:right w:val="single" w:color="808080" w:sz="4"/>
            </w:tcBorders>
            <w:shd w:fill="FFFFFF"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Examiner name</w:t>
            </w:r>
          </w:p>
        </w:tc>
        <w:tc>
          <w:tcPr>
            <w:tcW w:type="dxa" w:w="2633"/>
            <w:tcBorders>
              <w:top w:val="single" w:color="808080" w:sz="4"/>
              <w:left w:val="single" w:color="808080" w:sz="4"/>
              <w:bottom w:val="single" w:color="808080" w:sz="4"/>
              <w:right w:val="single" w:color="808080" w:sz="4"/>
            </w:tcBorders>
            <w:shd w:fill="FFFFFF"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
            </w:r>
          </w:p>
        </w:tc>
        <w:tc>
          <w:tcPr>
            <w:tcW w:type="dxa" w:w="2600"/>
            <w:tcBorders>
              <w:top w:val="single" w:color="808080" w:sz="4"/>
              <w:left w:val="single" w:color="808080" w:sz="4"/>
              <w:bottom w:val="single" w:color="808080" w:sz="4"/>
              <w:right w:val="single" w:color="808080" w:sz="4"/>
            </w:tcBorders>
            <w:shd w:fill="FFFFFF"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Designation</w:t>
            </w:r>
          </w:p>
        </w:tc>
        <w:tc>
          <w:tcPr>
            <w:tcW w:type="dxa" w:w="2633"/>
            <w:tcBorders>
              <w:top w:val="single" w:color="808080" w:sz="4"/>
              <w:left w:val="single" w:color="808080" w:sz="4"/>
              <w:bottom w:val="single" w:color="808080" w:sz="4"/>
              <w:right w:val="single" w:color="808080" w:sz="4"/>
            </w:tcBorders>
            <w:shd w:fill="FFFFFF"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Faculty / Department</w:t>
            </w:r>
          </w:p>
        </w:tc>
        <w:tc>
          <w:tcPr>
            <w:tcW w:type="dxa" w:w="26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Date</w:t>
            </w:r>
          </w:p>
        </w:tc>
        <w:tc>
          <w:tcPr>
            <w:tcW w:type="dxa" w:w="26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Student / Recording ID</w:t>
            </w:r>
          </w:p>
        </w:tc>
        <w:tc>
          <w:tcPr>
            <w:tcW w:type="dxa" w:w="26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Subject code</w:t>
            </w:r>
          </w:p>
        </w:tc>
        <w:tc>
          <w:tcPr>
            <w:tcW w:type="dxa" w:w="26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Recording length (mm:ss)</w:t>
            </w:r>
          </w:p>
        </w:tc>
        <w:tc>
          <w:tcPr>
            <w:tcW w:type="dxa" w:w="26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Mode used</w:t>
            </w:r>
          </w:p>
        </w:tc>
        <w:tc>
          <w:tcPr>
            <w:tcW w:type="dxa" w:w="26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 Without technical accuracy     [  ] With technical accuracy</w:t>
            </w:r>
          </w:p>
        </w:tc>
      </w:tr>
    </w:tbl>
    <w:p>
      <w:pPr>
        <w:pStyle w:val="Heading1"/>
        <w:spacing w:after="100" w:before="240"/>
      </w:pPr>
      <w:r>
        <w:rPr>
          <w:rFonts w:ascii="Calibri" w:cs="Calibri" w:eastAsia="Calibri" w:hAnsi="Calibri"/>
          <w:b/>
          <w:bCs/>
          <w:color w:val="1F3A5F"/>
          <w:sz w:val="28"/>
          <w:szCs w:val="28"/>
        </w:rPr>
        <w:t xml:space="preserve">1. How to use this sheet</w:t>
      </w:r>
    </w:p>
    <w:p>
      <w:pPr>
        <w:spacing w:after="80"/>
      </w:pPr>
      <w:r>
        <w:rPr>
          <w:rFonts w:ascii="Calibri" w:cs="Calibri" w:eastAsia="Calibri" w:hAnsi="Calibri"/>
          <w:sz w:val="20"/>
          <w:szCs w:val="20"/>
        </w:rPr>
        <w:t xml:space="preserve">Watch each recorded viva once and complete this sheet independently, before you look at the system’s result. Mark every item from what you see and hear. The sheet follows the same three components the system uses, so your marks can be compared with the system’s marks component by component.</w:t>
      </w:r>
    </w:p>
    <w:p>
      <w:pPr>
        <w:spacing w:after="80"/>
      </w:pPr>
      <w:r>
        <w:rPr>
          <w:rFonts w:ascii="Calibri" w:cs="Calibri" w:eastAsia="Calibri" w:hAnsi="Calibri"/>
          <w:b/>
          <w:bCs/>
          <w:sz w:val="20"/>
          <w:szCs w:val="20"/>
        </w:rPr>
        <w:t xml:space="preserve">Please do not guess what the system would give. </w:t>
      </w:r>
      <w:r>
        <w:rPr>
          <w:rFonts w:ascii="Calibri" w:cs="Calibri" w:eastAsia="Calibri" w:hAnsi="Calibri"/>
          <w:sz w:val="20"/>
          <w:szCs w:val="20"/>
        </w:rPr>
        <w:t xml:space="preserve">If a component cannot be judged (for example, no face is visible), write N/A and leave it out of the average, exactly as the system does.</w:t>
      </w:r>
    </w:p>
    <w:p>
      <w:pPr>
        <w:pStyle w:val="Heading1"/>
        <w:spacing w:after="100" w:before="240"/>
      </w:pPr>
      <w:r>
        <w:rPr>
          <w:rFonts w:ascii="Calibri" w:cs="Calibri" w:eastAsia="Calibri" w:hAnsi="Calibri"/>
          <w:b/>
          <w:bCs/>
          <w:color w:val="1F3A5F"/>
          <w:sz w:val="28"/>
          <w:szCs w:val="28"/>
        </w:rPr>
        <w:t xml:space="preserve">2. How the system marks (for your reference)</w:t>
      </w:r>
    </w:p>
    <w:p>
      <w:pPr>
        <w:spacing w:after="80"/>
      </w:pPr>
      <w:r>
        <w:rPr>
          <w:rFonts w:ascii="Calibri" w:cs="Calibri" w:eastAsia="Calibri" w:hAnsi="Calibri"/>
          <w:sz w:val="20"/>
          <w:szCs w:val="20"/>
        </w:rPr>
        <w:t xml:space="preserve">The official AI performance mark (/100) is the equal-weighted average of the available components below. A component with no usable data is dropped and the rest are renormalised. Facial emotion, eye gaze, head stability, blink rate and voice emotion are all scored inside these components. LLM comments do not change the mark.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5666"/>
        <w:gridCol w:w="1200"/>
        <w:gridCol w:w="1300"/>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Component</w:t>
            </w:r>
          </w:p>
        </w:tc>
        <w:tc>
          <w:tcPr>
            <w:tcW w:type="dxa" w:w="56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What the system measures</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Weight</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Your mark</w:t>
            </w:r>
          </w:p>
        </w:tc>
      </w:tr>
      <w:tr>
        <w:trPr>
          <w:cantSplit/>
          <w:tblHeader w:val="off"/>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A. Engagement</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Frame engagement (CNN), facial confidence, facial emotion, on-camera gaze, head stability, blink rate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1/3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 /100</w:t>
            </w:r>
          </w:p>
        </w:tc>
      </w:tr>
      <w:tr>
        <w:trPr>
          <w:cantSplit/>
          <w:tblHeader w:val="off"/>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B. Voice quality (audio)</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Pitch stability, voice clarity (HNR), voice smoothness (jitter / shimmer), emotional tone of voice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1/3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 /100</w:t>
            </w:r>
          </w:p>
        </w:tc>
      </w:tr>
      <w:tr>
        <w:trPr>
          <w:cantSplit/>
          <w:tblHeader w:val="off"/>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C. Speech delivery (transcript)</w:t>
            </w:r>
          </w:p>
        </w:tc>
        <w:tc>
          <w:tcPr>
            <w:tcW w:type="dxa" w:w="56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Speaking pace, hedge phrases, filler words, long pauses, complete sentences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1/3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 /100</w:t>
            </w:r>
          </w:p>
        </w:tc>
      </w:tr>
    </w:tbl>
    <w:p>
      <w:pPr>
        <w:spacing w:after="60"/>
      </w:pPr>
      <w:r>
        <w:rPr>
          <w:rFonts w:ascii="Calibri" w:cs="Calibri" w:eastAsia="Calibri" w:hAnsi="Calibri"/>
          <w:sz w:val="20"/>
          <w:szCs w:val="20"/>
        </w:rPr>
        <w:t xml:space="preserve"/>
      </w:r>
    </w:p>
    <w:p>
      <w:pPr>
        <w:spacing w:after="80"/>
      </w:pPr>
      <w:r>
        <w:rPr>
          <w:rFonts w:ascii="Calibri" w:cs="Calibri" w:eastAsia="Calibri" w:hAnsi="Calibri"/>
          <w:b/>
          <w:bCs/>
          <w:sz w:val="20"/>
          <w:szCs w:val="20"/>
        </w:rPr>
        <w:t xml:space="preserve">Quality gate. </w:t>
      </w:r>
      <w:r>
        <w:rPr>
          <w:rFonts w:ascii="Calibri" w:cs="Calibri" w:eastAsia="Calibri" w:hAnsi="Calibri"/>
          <w:sz w:val="20"/>
          <w:szCs w:val="20"/>
        </w:rPr>
        <w:t xml:space="preserve">If no usable face is visible, the student is not speaking, or more than one person is clearly in frame, the system gives no mark (INCOMPLETE). Tick below if you would also refuse to mark this recording.</w:t>
      </w:r>
    </w:p>
    <w:p>
      <w:pPr>
        <w:spacing w:after="80"/>
      </w:pPr>
      <w:r>
        <w:rPr>
          <w:rFonts w:ascii="Calibri" w:cs="Calibri" w:eastAsia="Calibri" w:hAnsi="Calibri"/>
          <w:sz w:val="20"/>
          <w:szCs w:val="20"/>
        </w:rPr>
        <w:t xml:space="preserve">[  ] No usable face visible     [  ] Student does not speak     [  ] More than one person in frame     [  ] Recording is fine to mark</w:t>
      </w:r>
    </w:p>
    <w:p>
      <w:r>
        <w:br w:type="page"/>
      </w:r>
    </w:p>
    <w:p>
      <w:pPr>
        <w:pStyle w:val="Heading1"/>
        <w:spacing w:after="100" w:before="240"/>
      </w:pPr>
      <w:r>
        <w:rPr>
          <w:rFonts w:ascii="Calibri" w:cs="Calibri" w:eastAsia="Calibri" w:hAnsi="Calibri"/>
          <w:b/>
          <w:bCs/>
          <w:color w:val="1F3A5F"/>
          <w:sz w:val="28"/>
          <w:szCs w:val="28"/>
        </w:rPr>
        <w:t xml:space="preserve">3. Component marking</w:t>
      </w:r>
    </w:p>
    <w:p>
      <w:pPr>
        <w:spacing w:after="80"/>
      </w:pPr>
      <w:r>
        <w:rPr>
          <w:rFonts w:ascii="Calibri" w:cs="Calibri" w:eastAsia="Calibri" w:hAnsi="Calibri"/>
          <w:sz w:val="20"/>
          <w:szCs w:val="20"/>
        </w:rPr>
        <w:t xml:space="preserve">Score each item from 0 to 10 using the anchors. The component mark is the average of its items multiplied by 10.</w:t>
      </w:r>
    </w:p>
    <w:p>
      <w:pPr>
        <w:pStyle w:val="Heading2"/>
        <w:spacing w:after="80" w:before="160"/>
      </w:pPr>
      <w:r>
        <w:rPr>
          <w:rFonts w:ascii="Calibri" w:cs="Calibri" w:eastAsia="Calibri" w:hAnsi="Calibri"/>
          <w:b/>
          <w:bCs/>
          <w:color w:val="1F3A5F"/>
          <w:sz w:val="22"/>
          <w:szCs w:val="22"/>
        </w:rPr>
        <w:t xml:space="preserve">A. Engagement  (1/3 of the AI mark)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4666"/>
        <w:gridCol w:w="1000"/>
        <w:gridCol w:w="180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Item</w:t>
            </w:r>
          </w:p>
        </w:tc>
        <w:tc>
          <w:tcPr>
            <w:tcW w:type="dxa" w:w="46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Anchors (0–10)</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Score</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Notes</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A1. Visible attentiveness</w:t>
            </w:r>
          </w:p>
        </w:tc>
        <w:tc>
          <w:tcPr>
            <w:tcW w:type="dxa" w:w="46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0–3: looks disengaged, distracted or bored.  4–6: mostly attentive with lapses.  7–10: consistently alert and focused on the task.</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A2. Facing the camera / examiner</w:t>
            </w:r>
          </w:p>
        </w:tc>
        <w:tc>
          <w:tcPr>
            <w:tcW w:type="dxa" w:w="46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0–3: often looking away or turned.  4–6: faces camera most of the time.  7–10: steady, natural eye contact throughout.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A3. Facial expression / confidence</w:t>
            </w:r>
          </w:p>
        </w:tc>
        <w:tc>
          <w:tcPr>
            <w:tcW w:type="dxa" w:w="46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0–3: tense, uncertain or negative expression.  4–6: neutral or mixed.  7–10: relaxed, positive, confident expression.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A4. Head steadiness</w:t>
            </w:r>
          </w:p>
        </w:tc>
        <w:tc>
          <w:tcPr>
            <w:tcW w:type="dxa" w:w="46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0–3: head constantly moving, tilting or turning.  4–6: some movement.  7–10: steady, composed posture.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A5. Natural blinking</w:t>
            </w:r>
          </w:p>
        </w:tc>
        <w:tc>
          <w:tcPr>
            <w:tcW w:type="dxa" w:w="46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0–3: very frequent blinking (more than about 25 a minute) suggesting strain.  4–6: somewhat elevated.  7–10: natural, relaxed blinking.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80"/>
            </w:pPr>
            <w:r>
              <w:rPr>
                <w:rFonts w:ascii="Calibri" w:cs="Calibri" w:eastAsia="Calibri" w:hAnsi="Calibri"/>
                <w:b/>
                <w:bCs/>
                <w:sz w:val="20"/>
                <w:szCs w:val="20"/>
              </w:rPr>
              <w:t xml:space="preserve">Component A mark</w:t>
            </w:r>
          </w:p>
        </w:tc>
        <w:tc>
          <w:tcPr>
            <w:tcW w:type="dxa" w:w="46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Average of A1–A5 × 10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______ /100</w:t>
            </w:r>
          </w:p>
        </w:tc>
      </w:tr>
    </w:tbl>
    <w:p>
      <w:pPr>
        <w:pStyle w:val="Heading2"/>
        <w:spacing w:after="80" w:before="160"/>
      </w:pPr>
      <w:r>
        <w:rPr>
          <w:rFonts w:ascii="Calibri" w:cs="Calibri" w:eastAsia="Calibri" w:hAnsi="Calibri"/>
          <w:b/>
          <w:bCs/>
          <w:color w:val="1F3A5F"/>
          <w:sz w:val="22"/>
          <w:szCs w:val="22"/>
        </w:rPr>
        <w:t xml:space="preserve">B. Voice quality  (1/3 of the AI mark)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4666"/>
        <w:gridCol w:w="1000"/>
        <w:gridCol w:w="180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Item</w:t>
            </w:r>
          </w:p>
        </w:tc>
        <w:tc>
          <w:tcPr>
            <w:tcW w:type="dxa" w:w="46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Anchors (0–10)</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Score</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Notes</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B1. Pitch stability</w:t>
            </w:r>
          </w:p>
        </w:tc>
        <w:tc>
          <w:tcPr>
            <w:tcW w:type="dxa" w:w="46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0–3: voice swings widely or sounds erratic.  4–6: some variation.  7–10: steady, controlled pitch.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B2. Voice clarity</w:t>
            </w:r>
          </w:p>
        </w:tc>
        <w:tc>
          <w:tcPr>
            <w:tcW w:type="dxa" w:w="46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0–3: breathy, muffled or hard to hear.  4–6: understandable with effort.  7–10: clear, clean voice.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B3. Voice smoothness</w:t>
            </w:r>
          </w:p>
        </w:tc>
        <w:tc>
          <w:tcPr>
            <w:tcW w:type="dxa" w:w="46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0–3: shaky, rough, trembling.  4–6: occasional roughness.  7–10: smooth and even throughout.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B4. Emotional tone of voice (half weight)</w:t>
            </w:r>
          </w:p>
        </w:tc>
        <w:tc>
          <w:tcPr>
            <w:tcW w:type="dxa" w:w="46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0–3: sounds upset, harsh or flat.  4–6: mixed.  7–10: calm, neutral or positive tone.  Count this item as half: use (B1+B2+B3+0.5×B4) ÷ 3.5.</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80"/>
            </w:pPr>
            <w:r>
              <w:rPr>
                <w:rFonts w:ascii="Calibri" w:cs="Calibri" w:eastAsia="Calibri" w:hAnsi="Calibri"/>
                <w:b/>
                <w:bCs/>
                <w:sz w:val="20"/>
                <w:szCs w:val="20"/>
              </w:rPr>
              <w:t xml:space="preserve">Component B mark</w:t>
            </w:r>
          </w:p>
        </w:tc>
        <w:tc>
          <w:tcPr>
            <w:tcW w:type="dxa" w:w="46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(B1 + B2 + B3 + 0.5 × B4) ÷ 3.5 × 10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______ /100</w:t>
            </w:r>
          </w:p>
        </w:tc>
      </w:tr>
    </w:tbl>
    <w:p>
      <w:pPr>
        <w:pStyle w:val="Heading2"/>
        <w:spacing w:after="80" w:before="160"/>
      </w:pPr>
      <w:r>
        <w:rPr>
          <w:rFonts w:ascii="Calibri" w:cs="Calibri" w:eastAsia="Calibri" w:hAnsi="Calibri"/>
          <w:b/>
          <w:bCs/>
          <w:color w:val="1F3A5F"/>
          <w:sz w:val="22"/>
          <w:szCs w:val="22"/>
        </w:rPr>
        <w:t xml:space="preserve">C. Speech delivery  (1/3 of the AI mark)</w:t>
      </w:r>
    </w:p>
    <w:p>
      <w:pPr>
        <w:spacing w:after="80"/>
      </w:pPr>
      <w:r>
        <w:rPr>
          <w:rFonts w:ascii="Calibri" w:cs="Calibri" w:eastAsia="Calibri" w:hAnsi="Calibri"/>
          <w:sz w:val="20"/>
          <w:szCs w:val="20"/>
        </w:rPr>
        <w:t xml:space="preserve">Items C2–C4 are counts. Tally while you watch, then convert using the table that follows. This matches the system’s own formulas.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3566"/>
        <w:gridCol w:w="1500"/>
        <w:gridCol w:w="1200"/>
        <w:gridCol w:w="1600"/>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Item</w:t>
            </w:r>
          </w:p>
        </w:tc>
        <w:tc>
          <w:tcPr>
            <w:tcW w:type="dxa" w:w="35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What to count / judge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Your tally (n)</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Score 0–10</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Notes</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C1. Speaking pace</w:t>
            </w:r>
          </w:p>
        </w:tc>
        <w:tc>
          <w:tcPr>
            <w:tcW w:type="dxa" w:w="3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Words per minute. Best band is 120–160 wpm. Too slow or too fast scores 6.5; in band scores 10.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pace: [  ] in band  [  ] too slow  [  ] too fast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C2. Hedge phrases</w:t>
            </w:r>
          </w:p>
        </w:tc>
        <w:tc>
          <w:tcPr>
            <w:tcW w:type="dxa" w:w="3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Tally: “I think”, “I believe”, “maybe”, “perhaps”, “sort of”, “kind of”, “I’m not sure but”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n = ____</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C3. Filler words</w:t>
            </w:r>
          </w:p>
        </w:tc>
        <w:tc>
          <w:tcPr>
            <w:tcW w:type="dxa" w:w="3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Tally: “um”, “uh”, “uhh”, “umm”, “hmm”, “er”, “erm”  (“like” is not counted)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n = ____</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C4. Long pauses</w:t>
            </w:r>
          </w:p>
        </w:tc>
        <w:tc>
          <w:tcPr>
            <w:tcW w:type="dxa" w:w="3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Silences longer than 2 seconds in the student’s answer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n = ____</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C5. Sentence completion</w:t>
            </w:r>
          </w:p>
        </w:tc>
        <w:tc>
          <w:tcPr>
            <w:tcW w:type="dxa" w:w="3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Share of sentences finished properly (not dropped or abandoned). Score = share × 10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about ____ %</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80"/>
            </w:pPr>
            <w:r>
              <w:rPr>
                <w:rFonts w:ascii="Calibri" w:cs="Calibri" w:eastAsia="Calibri" w:hAnsi="Calibri"/>
                <w:b/>
                <w:bCs/>
                <w:sz w:val="20"/>
                <w:szCs w:val="20"/>
              </w:rPr>
              <w:t xml:space="preserve">Component C mark</w:t>
            </w:r>
          </w:p>
        </w:tc>
        <w:tc>
          <w:tcPr>
            <w:tcW w:type="dxa" w:w="3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Average of C1–C5 × 10 (leave out any item you cannot judge)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______ /100</w:t>
            </w:r>
          </w:p>
        </w:tc>
      </w:tr>
    </w:tbl>
    <w:p>
      <w:pPr>
        <w:pStyle w:val="Heading2"/>
        <w:spacing w:after="80" w:before="160"/>
      </w:pPr>
      <w:r>
        <w:rPr>
          <w:rFonts w:ascii="Calibri" w:cs="Calibri" w:eastAsia="Calibri" w:hAnsi="Calibri"/>
          <w:b/>
          <w:bCs/>
          <w:color w:val="1F3A5F"/>
          <w:sz w:val="22"/>
          <w:szCs w:val="22"/>
        </w:rPr>
        <w:t xml:space="preserve">Conversion table for tallies (C2–C4)</w:t>
      </w:r>
    </w:p>
    <w:p>
      <w:pPr>
        <w:spacing w:after="80"/>
      </w:pPr>
      <w:r>
        <w:rPr>
          <w:rFonts w:ascii="Calibri" w:cs="Calibri" w:eastAsia="Calibri" w:hAnsi="Calibri"/>
          <w:sz w:val="20"/>
          <w:szCs w:val="20"/>
        </w:rPr>
        <w:t xml:space="preserve">Score out of 10 = 10 × (1 − n ÷ limit), never below 0. Limits: hedges 8, fillers 12, long pauses 6.</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730"/>
        <w:gridCol w:w="730"/>
        <w:gridCol w:w="730"/>
        <w:gridCol w:w="730"/>
        <w:gridCol w:w="730"/>
        <w:gridCol w:w="730"/>
        <w:gridCol w:w="730"/>
        <w:gridCol w:w="730"/>
        <w:gridCol w:w="730"/>
        <w:gridCol w:w="730"/>
        <w:gridCol w:w="730"/>
        <w:gridCol w:w="736"/>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Count n</w:t>
            </w:r>
          </w:p>
        </w:tc>
        <w:tc>
          <w:tcPr>
            <w:tcW w:type="dxa" w:w="73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0</w:t>
            </w:r>
          </w:p>
        </w:tc>
        <w:tc>
          <w:tcPr>
            <w:tcW w:type="dxa" w:w="73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1</w:t>
            </w:r>
          </w:p>
        </w:tc>
        <w:tc>
          <w:tcPr>
            <w:tcW w:type="dxa" w:w="73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2</w:t>
            </w:r>
          </w:p>
        </w:tc>
        <w:tc>
          <w:tcPr>
            <w:tcW w:type="dxa" w:w="73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3</w:t>
            </w:r>
          </w:p>
        </w:tc>
        <w:tc>
          <w:tcPr>
            <w:tcW w:type="dxa" w:w="73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4</w:t>
            </w:r>
          </w:p>
        </w:tc>
        <w:tc>
          <w:tcPr>
            <w:tcW w:type="dxa" w:w="73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5</w:t>
            </w:r>
          </w:p>
        </w:tc>
        <w:tc>
          <w:tcPr>
            <w:tcW w:type="dxa" w:w="73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6</w:t>
            </w:r>
          </w:p>
        </w:tc>
        <w:tc>
          <w:tcPr>
            <w:tcW w:type="dxa" w:w="73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7</w:t>
            </w:r>
          </w:p>
        </w:tc>
        <w:tc>
          <w:tcPr>
            <w:tcW w:type="dxa" w:w="73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8</w:t>
            </w:r>
          </w:p>
        </w:tc>
        <w:tc>
          <w:tcPr>
            <w:tcW w:type="dxa" w:w="73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9</w:t>
            </w:r>
          </w:p>
        </w:tc>
        <w:tc>
          <w:tcPr>
            <w:tcW w:type="dxa" w:w="73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10</w:t>
            </w:r>
          </w:p>
        </w:tc>
        <w:tc>
          <w:tcPr>
            <w:tcW w:type="dxa" w:w="73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12+</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Hedges (C2)</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10.0</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8.8</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7.5</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6.3</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5.0</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3.8</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2.5</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1.3</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0.0</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0.0</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0.0</w:t>
            </w:r>
          </w:p>
        </w:tc>
        <w:tc>
          <w:tcPr>
            <w:tcW w:type="dxa" w:w="7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0.0</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Fillers (C3)</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10.0</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9.2</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8.3</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7.5</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6.7</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5.8</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5.0</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4.2</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3.3</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2.5</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1.7</w:t>
            </w:r>
          </w:p>
        </w:tc>
        <w:tc>
          <w:tcPr>
            <w:tcW w:type="dxa" w:w="7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0.0</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Long pauses (C4)</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10.0</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8.3</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6.7</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5.0</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3.3</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1.7</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0.0</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0.0</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0.0</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0.0</w:t>
            </w:r>
          </w:p>
        </w:tc>
        <w:tc>
          <w:tcPr>
            <w:tcW w:type="dxa" w:w="7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0.0</w:t>
            </w:r>
          </w:p>
        </w:tc>
        <w:tc>
          <w:tcPr>
            <w:tcW w:type="dxa" w:w="7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0.0</w:t>
            </w:r>
          </w:p>
        </w:tc>
      </w:tr>
    </w:tbl>
    <w:p>
      <w:pPr>
        <w:spacing w:before="60"/>
      </w:pPr>
      <w:r>
        <w:rPr>
          <w:rFonts w:ascii="Calibri" w:cs="Calibri" w:eastAsia="Calibri" w:hAnsi="Calibri"/>
          <w:sz w:val="20"/>
          <w:szCs w:val="20"/>
        </w:rPr>
        <w:t xml:space="preserve">(12+ for hedges means 8 or more scores 0; for fillers 12 or more scores 0; for long pauses 6 or more scores 0.)</w:t>
      </w:r>
    </w:p>
    <w:p>
      <w:r>
        <w:br w:type="page"/>
      </w:r>
    </w:p>
    <w:p>
      <w:pPr>
        <w:pStyle w:val="Heading1"/>
        <w:spacing w:after="100" w:before="240"/>
      </w:pPr>
      <w:r>
        <w:rPr>
          <w:rFonts w:ascii="Calibri" w:cs="Calibri" w:eastAsia="Calibri" w:hAnsi="Calibri"/>
          <w:b/>
          <w:bCs/>
          <w:color w:val="1F3A5F"/>
          <w:sz w:val="28"/>
          <w:szCs w:val="28"/>
        </w:rPr>
        <w:t xml:space="preserve">4. Technical accuracy  (only if “with technical accuracy” mode is used)</w:t>
      </w:r>
    </w:p>
    <w:p>
      <w:pPr>
        <w:spacing w:after="80"/>
      </w:pPr>
      <w:r>
        <w:rPr>
          <w:rFonts w:ascii="Calibri" w:cs="Calibri" w:eastAsia="Calibri" w:hAnsi="Calibri"/>
          <w:sz w:val="20"/>
          <w:szCs w:val="20"/>
        </w:rPr>
        <w:t xml:space="preserve">Use the concept rubric uploaded for this subject (list the concepts below, with the weight shown in the system). For each concept, mark how well the student’s answer covered it: 0 = not mentioned or wrong, 5 = partly correct, 10 = correct and clear. The technical mark is the weighted average (out of 10), the same way the system combines concepts.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4766"/>
        <w:gridCol w:w="1300"/>
        <w:gridCol w:w="1700"/>
        <w:gridCol w:w="200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No.</w:t>
            </w:r>
          </w:p>
        </w:tc>
        <w:tc>
          <w:tcPr>
            <w:tcW w:type="dxa" w:w="47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Concept (from the subject rubric)</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Weight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Score 0–10</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Weight × score</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1</w:t>
            </w:r>
          </w:p>
        </w:tc>
        <w:tc>
          <w:tcPr>
            <w:tcW w:type="dxa" w:w="47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2</w:t>
            </w:r>
          </w:p>
        </w:tc>
        <w:tc>
          <w:tcPr>
            <w:tcW w:type="dxa" w:w="47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3</w:t>
            </w:r>
          </w:p>
        </w:tc>
        <w:tc>
          <w:tcPr>
            <w:tcW w:type="dxa" w:w="47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4</w:t>
            </w:r>
          </w:p>
        </w:tc>
        <w:tc>
          <w:tcPr>
            <w:tcW w:type="dxa" w:w="47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5</w:t>
            </w:r>
          </w:p>
        </w:tc>
        <w:tc>
          <w:tcPr>
            <w:tcW w:type="dxa" w:w="47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6</w:t>
            </w:r>
          </w:p>
        </w:tc>
        <w:tc>
          <w:tcPr>
            <w:tcW w:type="dxa" w:w="47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7</w:t>
            </w:r>
          </w:p>
        </w:tc>
        <w:tc>
          <w:tcPr>
            <w:tcW w:type="dxa" w:w="47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8</w:t>
            </w:r>
          </w:p>
        </w:tc>
        <w:tc>
          <w:tcPr>
            <w:tcW w:type="dxa" w:w="47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47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80"/>
            </w:pPr>
            <w:r>
              <w:rPr>
                <w:rFonts w:ascii="Calibri" w:cs="Calibri" w:eastAsia="Calibri" w:hAnsi="Calibri"/>
                <w:b/>
                <w:bCs/>
                <w:sz w:val="20"/>
                <w:szCs w:val="20"/>
              </w:rPr>
              <w:t xml:space="preserve">Totals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W = ____</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S = ____</w:t>
            </w:r>
          </w:p>
        </w:tc>
      </w:tr>
    </w:tbl>
    <w:p>
      <w:pPr>
        <w:spacing w:before="100"/>
      </w:pPr>
      <w:r>
        <w:rPr>
          <w:rFonts w:ascii="Calibri" w:cs="Calibri" w:eastAsia="Calibri" w:hAnsi="Calibri"/>
          <w:b/>
          <w:bCs/>
          <w:sz w:val="20"/>
          <w:szCs w:val="20"/>
        </w:rPr>
        <w:t xml:space="preserve">Technical mark /10 = S ÷ W = ________</w:t>
      </w:r>
    </w:p>
    <w:p>
      <w:pPr>
        <w:spacing w:after="80"/>
      </w:pPr>
      <w:r>
        <w:rPr>
          <w:rFonts w:ascii="Calibri" w:cs="Calibri" w:eastAsia="Calibri" w:hAnsi="Calibri"/>
          <w:sz w:val="20"/>
          <w:szCs w:val="20"/>
        </w:rPr>
        <w:t xml:space="preserve">The technical mark is confirmed by the examiner and is never published automatically.</w:t>
      </w:r>
    </w:p>
    <w:p>
      <w:pPr>
        <w:pStyle w:val="Heading1"/>
        <w:spacing w:after="100" w:before="240"/>
      </w:pPr>
      <w:r>
        <w:rPr>
          <w:rFonts w:ascii="Calibri" w:cs="Calibri" w:eastAsia="Calibri" w:hAnsi="Calibri"/>
          <w:b/>
          <w:bCs/>
          <w:color w:val="1F3A5F"/>
          <w:sz w:val="28"/>
          <w:szCs w:val="28"/>
        </w:rPr>
        <w:t xml:space="preserve">5. Final calculation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200"/>
        <w:gridCol w:w="6266"/>
      </w:tblGrid>
      <w:tr>
        <w:trPr>
          <w:cantSplit/>
          <w:tblHeader/>
        </w:trPr>
        <w:tc>
          <w:tcPr>
            <w:tcW w:type="dxa" w:w="4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Step</w:t>
            </w:r>
          </w:p>
        </w:tc>
        <w:tc>
          <w:tcPr>
            <w:tcW w:type="dxa" w:w="62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Calculation</w:t>
            </w:r>
          </w:p>
        </w:tc>
      </w:tr>
      <w:tr>
        <w:trPr>
          <w:cantSplit/>
          <w:tblHeader w:val="off"/>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AI-equivalent mark /100</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Average of the available components:  (A + B + C) ÷ 3  =  ________ /100.   If a component is N/A, divide by the number of components used.</w:t>
            </w:r>
          </w:p>
        </w:tc>
      </w:tr>
      <w:tr>
        <w:trPr>
          <w:cantSplit/>
          <w:tblHeader w:val="off"/>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Mode without technical accuracy</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Final mark = AI-equivalent mark  =  ________ /100</w:t>
            </w:r>
          </w:p>
        </w:tc>
      </w:tr>
      <w:tr>
        <w:trPr>
          <w:cantSplit/>
          <w:tblHeader w:val="off"/>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Mode with technical accuracy</w:t>
            </w:r>
          </w:p>
        </w:tc>
        <w:tc>
          <w:tcPr>
            <w:tcW w:type="dxa" w:w="62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Final mark = 0.5 × AI-equivalent + 0.5 × (technical ÷ 10 × 100)  =  ________ /100</w:t>
            </w:r>
          </w:p>
        </w:tc>
      </w:tr>
    </w:tbl>
    <w:p>
      <w:pPr>
        <w:pStyle w:val="Heading2"/>
        <w:spacing w:after="80" w:before="160"/>
      </w:pPr>
      <w:r>
        <w:rPr>
          <w:rFonts w:ascii="Calibri" w:cs="Calibri" w:eastAsia="Calibri" w:hAnsi="Calibri"/>
          <w:b/>
          <w:bCs/>
          <w:color w:val="1F3A5F"/>
          <w:sz w:val="22"/>
          <w:szCs w:val="22"/>
        </w:rPr>
        <w:t xml:space="preserve">Grade bands</w:t>
      </w:r>
    </w:p>
    <w:tbl>
      <w:tblPr>
        <w:tblW w:type="dxa" w:w="9466"/>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766"/>
      </w:tblGrid>
      <w:tr>
        <w:trPr>
          <w:cantSplit/>
          <w:tblHeader/>
        </w:trPr>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A+</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A</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B+</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B</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F</w:t>
            </w:r>
          </w:p>
        </w:tc>
        <w:tc>
          <w:tcPr>
            <w:tcW w:type="dxa" w:w="17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Your grade</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90–100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80–89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70–79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60–69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50–59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40–49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0–39</w:t>
            </w:r>
          </w:p>
        </w:tc>
        <w:tc>
          <w:tcPr>
            <w:tcW w:type="dxa" w:w="17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bl>
    <w:p>
      <w:pPr>
        <w:pStyle w:val="Heading1"/>
        <w:spacing w:after="100" w:before="240"/>
      </w:pPr>
      <w:r>
        <w:rPr>
          <w:rFonts w:ascii="Calibri" w:cs="Calibri" w:eastAsia="Calibri" w:hAnsi="Calibri"/>
          <w:b/>
          <w:bCs/>
          <w:color w:val="1F3A5F"/>
          <w:sz w:val="28"/>
          <w:szCs w:val="28"/>
        </w:rPr>
        <w:t xml:space="preserve">6. Overall examiner judgement</w:t>
      </w:r>
    </w:p>
    <w:p>
      <w:pPr>
        <w:spacing w:after="80"/>
      </w:pPr>
      <w:r>
        <w:rPr>
          <w:rFonts w:ascii="Calibri" w:cs="Calibri" w:eastAsia="Calibri" w:hAnsi="Calibri"/>
          <w:sz w:val="20"/>
          <w:szCs w:val="20"/>
        </w:rPr>
        <w:t xml:space="preserve">Give this mark first or separately, from your overall professional impression, without using the formulas above. It lets us check whether the formula-based mark agrees with an expert’s overall view.</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rPr>
          <w:cantSplit/>
          <w:tblHeader/>
        </w:trPr>
        <w:tc>
          <w:tcPr>
            <w:tcW w:type="dxa" w:w="523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Holistic mark /100 (your overall impression)</w:t>
            </w:r>
          </w:p>
        </w:tc>
        <w:tc>
          <w:tcPr>
            <w:tcW w:type="dxa" w:w="523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________ /100          Grade: ________</w:t>
            </w:r>
          </w:p>
        </w:tc>
      </w:tr>
      <w:tr>
        <w:trPr>
          <w:cantSplit/>
          <w:tblHeader w:val="off"/>
        </w:trPr>
        <w:tc>
          <w:tcPr>
            <w:tcW w:type="dxa" w:w="52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Would you publish the system’s mark for this recording?</w:t>
            </w:r>
          </w:p>
        </w:tc>
        <w:tc>
          <w:tcPr>
            <w:tcW w:type="dxa" w:w="52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 Yes     [  ] Yes, with a small change     [  ] No</w:t>
            </w:r>
          </w:p>
        </w:tc>
      </w:tr>
      <w:tr>
        <w:trPr>
          <w:cantSplit/>
          <w:tblHeader w:val="off"/>
        </w:trPr>
        <w:tc>
          <w:tcPr>
            <w:tcW w:type="dxa" w:w="52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If a change is needed, what mark would you give?</w:t>
            </w:r>
          </w:p>
        </w:tc>
        <w:tc>
          <w:tcPr>
            <w:tcW w:type="dxa" w:w="52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________ /100</w:t>
            </w:r>
          </w:p>
        </w:tc>
      </w:tr>
    </w:tbl>
    <w:p>
      <w:pPr>
        <w:pStyle w:val="Heading2"/>
        <w:spacing w:after="80" w:before="160"/>
      </w:pPr>
      <w:r>
        <w:rPr>
          <w:rFonts w:ascii="Calibri" w:cs="Calibri" w:eastAsia="Calibri" w:hAnsi="Calibri"/>
          <w:b/>
          <w:bCs/>
          <w:color w:val="1F3A5F"/>
          <w:sz w:val="22"/>
          <w:szCs w:val="22"/>
        </w:rPr>
        <w:t xml:space="preserve">Comments</w:t>
      </w:r>
    </w:p>
    <w:p>
      <w:pPr>
        <w:spacing w:after="100"/>
      </w:pPr>
      <w:r>
        <w:rPr>
          <w:rFonts w:ascii="Calibri" w:cs="Calibri" w:eastAsia="Calibri" w:hAnsi="Calibri"/>
          <w:sz w:val="20"/>
          <w:szCs w:val="20"/>
        </w:rPr>
        <w:t xml:space="preserve">........................................................................................................................</w:t>
      </w:r>
    </w:p>
    <w:p>
      <w:pPr>
        <w:spacing w:after="100"/>
      </w:pPr>
      <w:r>
        <w:rPr>
          <w:rFonts w:ascii="Calibri" w:cs="Calibri" w:eastAsia="Calibri" w:hAnsi="Calibri"/>
          <w:sz w:val="20"/>
          <w:szCs w:val="20"/>
        </w:rPr>
        <w:t xml:space="preserve">........................................................................................................................</w:t>
      </w:r>
    </w:p>
    <w:p>
      <w:pPr>
        <w:spacing w:after="100"/>
      </w:pPr>
      <w:r>
        <w:rPr>
          <w:rFonts w:ascii="Calibri" w:cs="Calibri" w:eastAsia="Calibri" w:hAnsi="Calibri"/>
          <w:sz w:val="20"/>
          <w:szCs w:val="20"/>
        </w:rPr>
        <w:t xml:space="preserve">........................................................................................................................</w:t>
      </w:r>
    </w:p>
    <w:p>
      <w:pPr>
        <w:spacing w:after="100"/>
      </w:pPr>
      <w:r>
        <w:rPr>
          <w:rFonts w:ascii="Calibri" w:cs="Calibri" w:eastAsia="Calibri" w:hAnsi="Calibri"/>
          <w:sz w:val="20"/>
          <w:szCs w:val="20"/>
        </w:rPr>
        <w:t xml:space="preserve">........................................................................................................................</w:t>
      </w:r>
    </w:p>
    <w:p>
      <w:pPr>
        <w:pStyle w:val="Heading1"/>
        <w:spacing w:after="100" w:before="240"/>
      </w:pPr>
      <w:r>
        <w:rPr>
          <w:rFonts w:ascii="Calibri" w:cs="Calibri" w:eastAsia="Calibri" w:hAnsi="Calibri"/>
          <w:b/>
          <w:bCs/>
          <w:color w:val="1F3A5F"/>
          <w:sz w:val="28"/>
          <w:szCs w:val="28"/>
        </w:rPr>
        <w:t xml:space="preserve">7. Confirmation</w:t>
      </w:r>
    </w:p>
    <w:p>
      <w:pPr>
        <w:spacing w:after="80"/>
      </w:pPr>
      <w:r>
        <w:rPr>
          <w:rFonts w:ascii="Calibri" w:cs="Calibri" w:eastAsia="Calibri" w:hAnsi="Calibri"/>
          <w:sz w:val="20"/>
          <w:szCs w:val="20"/>
        </w:rPr>
        <w:t xml:space="preserve">I confirm that these marks are my own independent assessment of this recording.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rPr>
          <w:cantSplit/>
          <w:tblHeader/>
        </w:trPr>
        <w:tc>
          <w:tcPr>
            <w:tcW w:type="dxa" w:w="5233"/>
            <w:tcBorders>
              <w:top w:val="single" w:color="808080" w:sz="4"/>
              <w:left w:val="single" w:color="808080" w:sz="4"/>
              <w:bottom w:val="single" w:color="808080" w:sz="4"/>
              <w:right w:val="single" w:color="808080" w:sz="4"/>
            </w:tcBorders>
            <w:shd w:fill="FFFFFF"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Examiner signature</w:t>
            </w:r>
          </w:p>
        </w:tc>
        <w:tc>
          <w:tcPr>
            <w:tcW w:type="dxa" w:w="5233"/>
            <w:tcBorders>
              <w:top w:val="single" w:color="808080" w:sz="4"/>
              <w:left w:val="single" w:color="808080" w:sz="4"/>
              <w:bottom w:val="single" w:color="808080" w:sz="4"/>
              <w:right w:val="single" w:color="808080" w:sz="4"/>
            </w:tcBorders>
            <w:shd w:fill="FFFFFF"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
            </w:r>
          </w:p>
        </w:tc>
      </w:tr>
      <w:tr>
        <w:trPr>
          <w:cantSplit/>
          <w:tblHeader w:val="off"/>
        </w:trPr>
        <w:tc>
          <w:tcPr>
            <w:tcW w:type="dxa" w:w="52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Date</w:t>
            </w:r>
          </w:p>
        </w:tc>
        <w:tc>
          <w:tcPr>
            <w:tcW w:type="dxa" w:w="52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
            </w:r>
          </w:p>
        </w:tc>
      </w:tr>
    </w:tbl>
    <w:sectPr>
      <w:footerReference w:type="default" r:id="rId6"/>
      <w:pgSz w:w="11906" w:h="16838" w:orient="portrait"/>
      <w:pgMar w:top="1000" w:right="720" w:bottom="100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Viva Marking Sheet  |  R26-SE-025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2026-10-16T09:07:25.941Z</dcterms:created>
  <dcterms:modified xsi:type="dcterms:W3CDTF">2026-10-16T09:07:25.942Z</dcterms:modified>
</cp:coreProperties>
</file>

<file path=docProps/custom.xml><?xml version="1.0" encoding="utf-8"?>
<Properties xmlns="http://schemas.openxmlformats.org/officeDocument/2006/custom-properties" xmlns:vt="http://schemas.openxmlformats.org/officeDocument/2006/docPropsVTypes"/>
</file>