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OpenLEWS Enhanced Implementation Roadmap</w:t>
      </w:r>
    </w:p>
    <w:p>
      <w:pPr>
        <w:spacing w:after="200"/>
        <w:jc w:val="center"/>
      </w:pPr>
      <w:r>
        <w:rPr>
          <w:color w:val="666666"/>
          <w:sz w:val="24"/>
          <w:szCs w:val="24"/>
        </w:rPr>
        <w:t xml:space="preserve">Consolidated Response to Neuro-Symbolic Pipeline Review</w:t>
      </w:r>
    </w:p>
    <w:p>
      <w:pPr>
        <w:spacing w:after="200"/>
        <w:jc w:val="center"/>
      </w:pPr>
      <w:r>
        <w:rPr>
          <w:color w:val="888888"/>
          <w:sz w:val="22"/>
          <w:szCs w:val="22"/>
        </w:rPr>
        <w:t xml:space="preserve">Merging Third-Party Review with Internal LLM/Geologist Analysis</w:t>
      </w:r>
    </w:p>
    <w:p>
      <w:pPr>
        <w:spacing w:after="600"/>
        <w:jc w:val="center"/>
      </w:pPr>
      <w:r>
        <w:rPr>
          <w:color w:val="888888"/>
          <w:sz w:val="22"/>
          <w:szCs w:val="22"/>
        </w:rPr>
        <w:t xml:space="preserve">January 2026 • Version 2.1</w:t>
      </w:r>
    </w:p>
    <w:p>
      <w:pPr>
        <w:pStyle w:val="Heading1"/>
      </w:pPr>
      <w:r>
        <w:t xml:space="preserve">Purpose and Scope</w:t>
      </w:r>
    </w:p>
    <w:p>
      <w:pPr>
        <w:spacing w:after="200"/>
      </w:pPr>
      <w:r>
        <w:t xml:space="preserve">This document merges the third-party implementation roadmap derived from the neuro-symbolic pipeline review with additional recommendations from the internal LLM/geologist analysis. It serves as the guiding plan for evolving the OpenLEWS prototype into a robust, fully neuro-symbolic landslide early-warning system.</w:t>
      </w:r>
    </w:p>
    <w:p>
      <w:pPr>
        <w:spacing w:after="200"/>
      </w:pPr>
      <w:r>
        <w:t xml:space="preserve">Periodic reviews should measure progress against this roadmap and adjust priorities based on data quality, funding and stakeholder feedback. Each phase includes explicit deliverables and success criteria to enable objective progress tracking.</w:t>
      </w:r>
    </w:p>
    <w:p>
      <w:pPr>
        <w:pStyle w:val="Heading1"/>
      </w:pPr>
      <w:r>
        <w:t xml:space="preserve">Guiding Principles</w:t>
      </w:r>
    </w:p>
    <w:p>
      <w:pPr>
        <w:spacing w:after="150"/>
      </w:pPr>
      <w:r>
        <w:t xml:space="preserve">The roadmap is driven by four key principles that inform all design and implementation decisions:</w:t>
      </w:r>
    </w:p>
    <w:p>
      <w:pPr>
        <w:pStyle w:val="ListParagraph"/>
        <w:numPr>
          <w:ilvl w:val="0"/>
          <w:numId w:val="2"/>
        </w:numPr>
        <w:spacing w:after="100"/>
      </w:pPr>
      <w:r>
        <w:rPr>
          <w:b/>
          <w:bCs/>
        </w:rPr>
        <w:t xml:space="preserve">Reliability</w:t>
      </w:r>
      <w:r>
        <w:t xml:space="preserve"> – Provide timely, well-calibrated alerts by fusing multi-sensor data, detecting faults, and quantifying uncertainty. The system must minimize both false positives (cry wolf effect) and false negatives (missed warnings).</w:t>
      </w:r>
    </w:p>
    <w:p>
      <w:pPr>
        <w:pStyle w:val="ListParagraph"/>
        <w:numPr>
          <w:ilvl w:val="0"/>
          <w:numId w:val="2"/>
        </w:numPr>
        <w:spacing w:after="100"/>
      </w:pPr>
      <w:r>
        <w:rPr>
          <w:b/>
          <w:bCs/>
        </w:rPr>
        <w:t xml:space="preserve">Interpretability</w:t>
      </w:r>
      <w:r>
        <w:t xml:space="preserve"> – Encode geotechnical knowledge as explicit rules so that decisions can be explained and audited. Use LLMs to communicate risk clearly with evidence citations. Every alert should trace back to specific sensor readings and geological context.</w:t>
      </w:r>
    </w:p>
    <w:p>
      <w:pPr>
        <w:pStyle w:val="ListParagraph"/>
        <w:numPr>
          <w:ilvl w:val="0"/>
          <w:numId w:val="2"/>
        </w:numPr>
        <w:spacing w:after="100"/>
      </w:pPr>
      <w:r>
        <w:rPr>
          <w:b/>
          <w:bCs/>
        </w:rPr>
        <w:t xml:space="preserve">Adaptivity</w:t>
      </w:r>
      <w:r>
        <w:t xml:space="preserve"> – Adapt thresholds and weights to hazard level, soil type, rainfall regime, and seasonal conditions. Incorporate machine-learning models that learn from new data without discarding hard-coded rules. The neuro-symbolic architecture ensures that learned patterns complement rather than replace domain knowledge.</w:t>
      </w:r>
    </w:p>
    <w:p>
      <w:pPr>
        <w:pStyle w:val="ListParagraph"/>
        <w:numPr>
          <w:ilvl w:val="0"/>
          <w:numId w:val="2"/>
        </w:numPr>
        <w:spacing w:after="200"/>
      </w:pPr>
      <w:r>
        <w:rPr>
          <w:b/>
          <w:bCs/>
        </w:rPr>
        <w:t xml:space="preserve">Modularity</w:t>
      </w:r>
      <w:r>
        <w:t xml:space="preserve"> – Implement enhancements in phases so that each component can be developed, tested, and deployed independently without disrupting existing functionality. Use clear interfaces between perception, symbolic reasoning, and LLM layers.</w:t>
      </w:r>
    </w:p>
    <w:p>
      <w:pPr>
        <w:pStyle w:val="Heading1"/>
      </w:pPr>
      <w:r>
        <w:t xml:space="preserve">Priority Matrix</w:t>
      </w:r>
    </w:p>
    <w:p>
      <w:pPr>
        <w:spacing w:after="200"/>
      </w:pPr>
      <w:r>
        <w:t xml:space="preserve">The following matrix categorizes all enhancements by implementation priority and layer: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1200"/>
        <w:gridCol w:w="1360"/>
      </w:tblGrid>
      <w:tr>
        <w:trPr>
          <w:tblHeader/>
        </w:trPr>
        <w:tc>
          <w:tcPr>
            <w:tcW w:type="dxa" w:w="18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Enhancement</w:t>
            </w:r>
          </w:p>
        </w:tc>
        <w:tc>
          <w:tcPr>
            <w:tcW w:type="dxa" w:w="12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Effort</w:t>
            </w:r>
          </w:p>
        </w:tc>
        <w:tc>
          <w:tcPr>
            <w:tcW w:type="dxa" w:w="136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Section</w:t>
            </w:r>
          </w:p>
        </w:tc>
      </w:tr>
      <w:tr>
        <w:tc>
          <w:tcPr>
            <w:tcBorders>
              <w:top w:val="single" w:color="CCCCCC" w:sz="1"/>
              <w:left w:val="single" w:color="CCCCCC" w:sz="1"/>
              <w:bottom w:val="single" w:color="CCCCCC" w:sz="1"/>
              <w:right w:val="single" w:color="CCCCCC" w:sz="1"/>
            </w:tcBorders>
            <w:shd w:fill="fed7d7" w:val="clear"/>
          </w:tcPr>
          <w:p>
            <w:r>
              <w:rPr>
                <w:b/>
                <w:bCs/>
                <w:color w:val="c53030"/>
                <w:sz w:val="20"/>
                <w:szCs w:val="20"/>
              </w:rPr>
              <w:t xml:space="preserve">Phase 1</w:t>
            </w:r>
          </w:p>
        </w:tc>
        <w:tc>
          <w:tcPr>
            <w:tcBorders>
              <w:top w:val="single" w:color="CCCCCC" w:sz="1"/>
              <w:left w:val="single" w:color="CCCCCC" w:sz="1"/>
              <w:bottom w:val="single" w:color="CCCCCC" w:sz="1"/>
              <w:right w:val="single" w:color="CCCCCC" w:sz="1"/>
            </w:tcBorders>
          </w:tcPr>
          <w:p>
            <w:r>
              <w:rPr>
                <w:sz w:val="20"/>
                <w:szCs w:val="20"/>
              </w:rPr>
              <w:t xml:space="preserve">Perception</w:t>
            </w:r>
          </w:p>
        </w:tc>
        <w:tc>
          <w:tcPr>
            <w:tcBorders>
              <w:top w:val="single" w:color="CCCCCC" w:sz="1"/>
              <w:left w:val="single" w:color="CCCCCC" w:sz="1"/>
              <w:bottom w:val="single" w:color="CCCCCC" w:sz="1"/>
              <w:right w:val="single" w:color="CCCCCC" w:sz="1"/>
            </w:tcBorders>
          </w:tcPr>
          <w:p>
            <w:r>
              <w:rPr>
                <w:sz w:val="20"/>
                <w:szCs w:val="20"/>
              </w:rPr>
              <w:t xml:space="preserve">Time-series trend calculation</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1.1</w:t>
            </w:r>
          </w:p>
        </w:tc>
      </w:tr>
      <w:tr>
        <w:tc>
          <w:tcPr>
            <w:tcBorders>
              <w:top w:val="single" w:color="CCCCCC" w:sz="1"/>
              <w:left w:val="single" w:color="CCCCCC" w:sz="1"/>
              <w:bottom w:val="single" w:color="CCCCCC" w:sz="1"/>
              <w:right w:val="single" w:color="CCCCCC" w:sz="1"/>
            </w:tcBorders>
            <w:shd w:fill="fed7d7" w:val="clear"/>
          </w:tcPr>
          <w:p>
            <w:r>
              <w:rPr>
                <w:b/>
                <w:bCs/>
                <w:color w:val="c53030"/>
                <w:sz w:val="20"/>
                <w:szCs w:val="20"/>
              </w:rPr>
              <w:t xml:space="preserve">Phase 1</w:t>
            </w:r>
          </w:p>
        </w:tc>
        <w:tc>
          <w:tcPr>
            <w:tcBorders>
              <w:top w:val="single" w:color="CCCCCC" w:sz="1"/>
              <w:left w:val="single" w:color="CCCCCC" w:sz="1"/>
              <w:bottom w:val="single" w:color="CCCCCC" w:sz="1"/>
              <w:right w:val="single" w:color="CCCCCC" w:sz="1"/>
            </w:tcBorders>
          </w:tcPr>
          <w:p>
            <w:r>
              <w:rPr>
                <w:sz w:val="20"/>
                <w:szCs w:val="20"/>
              </w:rPr>
              <w:t xml:space="preserve">Perception</w:t>
            </w:r>
          </w:p>
        </w:tc>
        <w:tc>
          <w:tcPr>
            <w:tcBorders>
              <w:top w:val="single" w:color="CCCCCC" w:sz="1"/>
              <w:left w:val="single" w:color="CCCCCC" w:sz="1"/>
              <w:bottom w:val="single" w:color="CCCCCC" w:sz="1"/>
              <w:right w:val="single" w:color="CCCCCC" w:sz="1"/>
            </w:tcBorders>
          </w:tcPr>
          <w:p>
            <w:r>
              <w:rPr>
                <w:sz w:val="20"/>
                <w:szCs w:val="20"/>
              </w:rPr>
              <w:t xml:space="preserve">Sensor health monitoring</w:t>
            </w:r>
          </w:p>
        </w:tc>
        <w:tc>
          <w:tcPr>
            <w:tcBorders>
              <w:top w:val="single" w:color="CCCCCC" w:sz="1"/>
              <w:left w:val="single" w:color="CCCCCC" w:sz="1"/>
              <w:bottom w:val="single" w:color="CCCCCC" w:sz="1"/>
              <w:right w:val="single" w:color="CCCCCC" w:sz="1"/>
            </w:tcBorders>
          </w:tcPr>
          <w:p>
            <w:r>
              <w:rPr>
                <w:sz w:val="20"/>
                <w:szCs w:val="20"/>
              </w:rPr>
              <w:t xml:space="preserve">Low</w:t>
            </w:r>
          </w:p>
        </w:tc>
        <w:tc>
          <w:tcPr>
            <w:tcBorders>
              <w:top w:val="single" w:color="CCCCCC" w:sz="1"/>
              <w:left w:val="single" w:color="CCCCCC" w:sz="1"/>
              <w:bottom w:val="single" w:color="CCCCCC" w:sz="1"/>
              <w:right w:val="single" w:color="CCCCCC" w:sz="1"/>
            </w:tcBorders>
          </w:tcPr>
          <w:p>
            <w:r>
              <w:rPr>
                <w:sz w:val="20"/>
                <w:szCs w:val="20"/>
              </w:rPr>
              <w:t xml:space="preserve">1.2</w:t>
            </w:r>
          </w:p>
        </w:tc>
      </w:tr>
      <w:tr>
        <w:tc>
          <w:tcPr>
            <w:tcBorders>
              <w:top w:val="single" w:color="CCCCCC" w:sz="1"/>
              <w:left w:val="single" w:color="CCCCCC" w:sz="1"/>
              <w:bottom w:val="single" w:color="CCCCCC" w:sz="1"/>
              <w:right w:val="single" w:color="CCCCCC" w:sz="1"/>
            </w:tcBorders>
            <w:shd w:fill="fed7d7" w:val="clear"/>
          </w:tcPr>
          <w:p>
            <w:r>
              <w:rPr>
                <w:b/>
                <w:bCs/>
                <w:color w:val="c53030"/>
                <w:sz w:val="20"/>
                <w:szCs w:val="20"/>
              </w:rPr>
              <w:t xml:space="preserve">Phase 1</w:t>
            </w:r>
          </w:p>
        </w:tc>
        <w:tc>
          <w:tcPr>
            <w:tcBorders>
              <w:top w:val="single" w:color="CCCCCC" w:sz="1"/>
              <w:left w:val="single" w:color="CCCCCC" w:sz="1"/>
              <w:bottom w:val="single" w:color="CCCCCC" w:sz="1"/>
              <w:right w:val="single" w:color="CCCCCC" w:sz="1"/>
            </w:tcBorders>
          </w:tcPr>
          <w:p>
            <w:r>
              <w:rPr>
                <w:sz w:val="20"/>
                <w:szCs w:val="20"/>
              </w:rPr>
              <w:t xml:space="preserve">Symbolic</w:t>
            </w:r>
          </w:p>
        </w:tc>
        <w:tc>
          <w:tcPr>
            <w:tcBorders>
              <w:top w:val="single" w:color="CCCCCC" w:sz="1"/>
              <w:left w:val="single" w:color="CCCCCC" w:sz="1"/>
              <w:bottom w:val="single" w:color="CCCCCC" w:sz="1"/>
              <w:right w:val="single" w:color="CCCCCC" w:sz="1"/>
            </w:tcBorders>
          </w:tcPr>
          <w:p>
            <w:r>
              <w:rPr>
                <w:sz w:val="20"/>
                <w:szCs w:val="20"/>
              </w:rPr>
              <w:t xml:space="preserve">Cross-modal consistency rules</w:t>
            </w:r>
          </w:p>
        </w:tc>
        <w:tc>
          <w:tcPr>
            <w:tcBorders>
              <w:top w:val="single" w:color="CCCCCC" w:sz="1"/>
              <w:left w:val="single" w:color="CCCCCC" w:sz="1"/>
              <w:bottom w:val="single" w:color="CCCCCC" w:sz="1"/>
              <w:right w:val="single" w:color="CCCCCC" w:sz="1"/>
            </w:tcBorders>
          </w:tcPr>
          <w:p>
            <w:r>
              <w:rPr>
                <w:sz w:val="20"/>
                <w:szCs w:val="20"/>
              </w:rPr>
              <w:t xml:space="preserve">Low</w:t>
            </w:r>
          </w:p>
        </w:tc>
        <w:tc>
          <w:tcPr>
            <w:tcBorders>
              <w:top w:val="single" w:color="CCCCCC" w:sz="1"/>
              <w:left w:val="single" w:color="CCCCCC" w:sz="1"/>
              <w:bottom w:val="single" w:color="CCCCCC" w:sz="1"/>
              <w:right w:val="single" w:color="CCCCCC" w:sz="1"/>
            </w:tcBorders>
          </w:tcPr>
          <w:p>
            <w:r>
              <w:rPr>
                <w:sz w:val="20"/>
                <w:szCs w:val="20"/>
              </w:rPr>
              <w:t xml:space="preserve">1.3</w:t>
            </w:r>
          </w:p>
        </w:tc>
      </w:tr>
      <w:tr>
        <w:tc>
          <w:tcPr>
            <w:tcBorders>
              <w:top w:val="single" w:color="CCCCCC" w:sz="1"/>
              <w:left w:val="single" w:color="CCCCCC" w:sz="1"/>
              <w:bottom w:val="single" w:color="CCCCCC" w:sz="1"/>
              <w:right w:val="single" w:color="CCCCCC" w:sz="1"/>
            </w:tcBorders>
            <w:shd w:fill="fed7d7" w:val="clear"/>
          </w:tcPr>
          <w:p>
            <w:r>
              <w:rPr>
                <w:b/>
                <w:bCs/>
                <w:color w:val="c53030"/>
                <w:sz w:val="20"/>
                <w:szCs w:val="20"/>
              </w:rPr>
              <w:t xml:space="preserve">Phase 1</w:t>
            </w:r>
          </w:p>
        </w:tc>
        <w:tc>
          <w:tcPr>
            <w:tcBorders>
              <w:top w:val="single" w:color="CCCCCC" w:sz="1"/>
              <w:left w:val="single" w:color="CCCCCC" w:sz="1"/>
              <w:bottom w:val="single" w:color="CCCCCC" w:sz="1"/>
              <w:right w:val="single" w:color="CCCCCC" w:sz="1"/>
            </w:tcBorders>
          </w:tcPr>
          <w:p>
            <w:r>
              <w:rPr>
                <w:sz w:val="20"/>
                <w:szCs w:val="20"/>
              </w:rPr>
              <w:t xml:space="preserve">Perception</w:t>
            </w:r>
          </w:p>
        </w:tc>
        <w:tc>
          <w:tcPr>
            <w:tcBorders>
              <w:top w:val="single" w:color="CCCCCC" w:sz="1"/>
              <w:left w:val="single" w:color="CCCCCC" w:sz="1"/>
              <w:bottom w:val="single" w:color="CCCCCC" w:sz="1"/>
              <w:right w:val="single" w:color="CCCCCC" w:sz="1"/>
            </w:tcBorders>
          </w:tcPr>
          <w:p>
            <w:r>
              <w:rPr>
                <w:sz w:val="20"/>
                <w:szCs w:val="20"/>
              </w:rPr>
              <w:t xml:space="preserve">Rainfall forecasting integration</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1.4</w:t>
            </w:r>
          </w:p>
        </w:tc>
      </w:tr>
      <w:tr>
        <w:tc>
          <w:tcPr>
            <w:tcBorders>
              <w:top w:val="single" w:color="CCCCCC" w:sz="1"/>
              <w:left w:val="single" w:color="CCCCCC" w:sz="1"/>
              <w:bottom w:val="single" w:color="CCCCCC" w:sz="1"/>
              <w:right w:val="single" w:color="CCCCCC" w:sz="1"/>
            </w:tcBorders>
            <w:shd w:fill="fed7d7" w:val="clear"/>
          </w:tcPr>
          <w:p>
            <w:r>
              <w:rPr>
                <w:b/>
                <w:bCs/>
                <w:color w:val="c53030"/>
                <w:sz w:val="20"/>
                <w:szCs w:val="20"/>
              </w:rPr>
              <w:t xml:space="preserve">Phase 1</w:t>
            </w:r>
          </w:p>
        </w:tc>
        <w:tc>
          <w:tcPr>
            <w:tcBorders>
              <w:top w:val="single" w:color="CCCCCC" w:sz="1"/>
              <w:left w:val="single" w:color="CCCCCC" w:sz="1"/>
              <w:bottom w:val="single" w:color="CCCCCC" w:sz="1"/>
              <w:right w:val="single" w:color="CCCCCC" w:sz="1"/>
            </w:tcBorders>
          </w:tcPr>
          <w:p>
            <w:r>
              <w:rPr>
                <w:sz w:val="20"/>
                <w:szCs w:val="20"/>
              </w:rPr>
              <w:t xml:space="preserve">Perception</w:t>
            </w:r>
          </w:p>
        </w:tc>
        <w:tc>
          <w:tcPr>
            <w:tcBorders>
              <w:top w:val="single" w:color="CCCCCC" w:sz="1"/>
              <w:left w:val="single" w:color="CCCCCC" w:sz="1"/>
              <w:bottom w:val="single" w:color="CCCCCC" w:sz="1"/>
              <w:right w:val="single" w:color="CCCCCC" w:sz="1"/>
            </w:tcBorders>
          </w:tcPr>
          <w:p>
            <w:r>
              <w:rPr>
                <w:sz w:val="20"/>
                <w:szCs w:val="20"/>
              </w:rPr>
              <w:t xml:space="preserve">Negative pore pressure handling</w:t>
            </w:r>
          </w:p>
        </w:tc>
        <w:tc>
          <w:tcPr>
            <w:tcBorders>
              <w:top w:val="single" w:color="CCCCCC" w:sz="1"/>
              <w:left w:val="single" w:color="CCCCCC" w:sz="1"/>
              <w:bottom w:val="single" w:color="CCCCCC" w:sz="1"/>
              <w:right w:val="single" w:color="CCCCCC" w:sz="1"/>
            </w:tcBorders>
          </w:tcPr>
          <w:p>
            <w:r>
              <w:rPr>
                <w:sz w:val="20"/>
                <w:szCs w:val="20"/>
              </w:rPr>
              <w:t xml:space="preserve">Low</w:t>
            </w:r>
          </w:p>
        </w:tc>
        <w:tc>
          <w:tcPr>
            <w:tcBorders>
              <w:top w:val="single" w:color="CCCCCC" w:sz="1"/>
              <w:left w:val="single" w:color="CCCCCC" w:sz="1"/>
              <w:bottom w:val="single" w:color="CCCCCC" w:sz="1"/>
              <w:right w:val="single" w:color="CCCCCC" w:sz="1"/>
            </w:tcBorders>
          </w:tcPr>
          <w:p>
            <w:r>
              <w:rPr>
                <w:sz w:val="20"/>
                <w:szCs w:val="20"/>
              </w:rPr>
              <w:t xml:space="preserve">1.5</w:t>
            </w:r>
          </w:p>
        </w:tc>
      </w:tr>
      <w:tr>
        <w:tc>
          <w:tcPr>
            <w:tcBorders>
              <w:top w:val="single" w:color="CCCCCC" w:sz="1"/>
              <w:left w:val="single" w:color="CCCCCC" w:sz="1"/>
              <w:bottom w:val="single" w:color="CCCCCC" w:sz="1"/>
              <w:right w:val="single" w:color="CCCCCC" w:sz="1"/>
            </w:tcBorders>
            <w:shd w:fill="feebc8" w:val="clear"/>
          </w:tcPr>
          <w:p>
            <w:r>
              <w:rPr>
                <w:b/>
                <w:bCs/>
                <w:color w:val="c05621"/>
                <w:sz w:val="20"/>
                <w:szCs w:val="20"/>
              </w:rPr>
              <w:t xml:space="preserve">Phase 2</w:t>
            </w:r>
          </w:p>
        </w:tc>
        <w:tc>
          <w:tcPr>
            <w:tcBorders>
              <w:top w:val="single" w:color="CCCCCC" w:sz="1"/>
              <w:left w:val="single" w:color="CCCCCC" w:sz="1"/>
              <w:bottom w:val="single" w:color="CCCCCC" w:sz="1"/>
              <w:right w:val="single" w:color="CCCCCC" w:sz="1"/>
            </w:tcBorders>
          </w:tcPr>
          <w:p>
            <w:r>
              <w:rPr>
                <w:sz w:val="20"/>
                <w:szCs w:val="20"/>
              </w:rPr>
              <w:t xml:space="preserve">Symbolic</w:t>
            </w:r>
          </w:p>
        </w:tc>
        <w:tc>
          <w:tcPr>
            <w:tcBorders>
              <w:top w:val="single" w:color="CCCCCC" w:sz="1"/>
              <w:left w:val="single" w:color="CCCCCC" w:sz="1"/>
              <w:bottom w:val="single" w:color="CCCCCC" w:sz="1"/>
              <w:right w:val="single" w:color="CCCCCC" w:sz="1"/>
            </w:tcBorders>
          </w:tcPr>
          <w:p>
            <w:r>
              <w:rPr>
                <w:sz w:val="20"/>
                <w:szCs w:val="20"/>
              </w:rPr>
              <w:t xml:space="preserve">Dynamic threshold adaptation</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2.1</w:t>
            </w:r>
          </w:p>
        </w:tc>
      </w:tr>
      <w:tr>
        <w:tc>
          <w:tcPr>
            <w:tcBorders>
              <w:top w:val="single" w:color="CCCCCC" w:sz="1"/>
              <w:left w:val="single" w:color="CCCCCC" w:sz="1"/>
              <w:bottom w:val="single" w:color="CCCCCC" w:sz="1"/>
              <w:right w:val="single" w:color="CCCCCC" w:sz="1"/>
            </w:tcBorders>
            <w:shd w:fill="feebc8" w:val="clear"/>
          </w:tcPr>
          <w:p>
            <w:r>
              <w:rPr>
                <w:b/>
                <w:bCs/>
                <w:color w:val="c05621"/>
                <w:sz w:val="20"/>
                <w:szCs w:val="20"/>
              </w:rPr>
              <w:t xml:space="preserve">Phase 2</w:t>
            </w:r>
          </w:p>
        </w:tc>
        <w:tc>
          <w:tcPr>
            <w:tcBorders>
              <w:top w:val="single" w:color="CCCCCC" w:sz="1"/>
              <w:left w:val="single" w:color="CCCCCC" w:sz="1"/>
              <w:bottom w:val="single" w:color="CCCCCC" w:sz="1"/>
              <w:right w:val="single" w:color="CCCCCC" w:sz="1"/>
            </w:tcBorders>
          </w:tcPr>
          <w:p>
            <w:r>
              <w:rPr>
                <w:sz w:val="20"/>
                <w:szCs w:val="20"/>
              </w:rPr>
              <w:t xml:space="preserve">LLM/RAG</w:t>
            </w:r>
          </w:p>
        </w:tc>
        <w:tc>
          <w:tcPr>
            <w:tcBorders>
              <w:top w:val="single" w:color="CCCCCC" w:sz="1"/>
              <w:left w:val="single" w:color="CCCCCC" w:sz="1"/>
              <w:bottom w:val="single" w:color="CCCCCC" w:sz="1"/>
              <w:right w:val="single" w:color="CCCCCC" w:sz="1"/>
            </w:tcBorders>
          </w:tcPr>
          <w:p>
            <w:r>
              <w:rPr>
                <w:sz w:val="20"/>
                <w:szCs w:val="20"/>
              </w:rPr>
              <w:t xml:space="preserve">Enhanced RAG semantic search</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2.2</w:t>
            </w:r>
          </w:p>
        </w:tc>
      </w:tr>
      <w:tr>
        <w:tc>
          <w:tcPr>
            <w:tcBorders>
              <w:top w:val="single" w:color="CCCCCC" w:sz="1"/>
              <w:left w:val="single" w:color="CCCCCC" w:sz="1"/>
              <w:bottom w:val="single" w:color="CCCCCC" w:sz="1"/>
              <w:right w:val="single" w:color="CCCCCC" w:sz="1"/>
            </w:tcBorders>
            <w:shd w:fill="feebc8" w:val="clear"/>
          </w:tcPr>
          <w:p>
            <w:r>
              <w:rPr>
                <w:b/>
                <w:bCs/>
                <w:color w:val="c05621"/>
                <w:sz w:val="20"/>
                <w:szCs w:val="20"/>
              </w:rPr>
              <w:t xml:space="preserve">Phase 2</w:t>
            </w:r>
          </w:p>
        </w:tc>
        <w:tc>
          <w:tcPr>
            <w:tcBorders>
              <w:top w:val="single" w:color="CCCCCC" w:sz="1"/>
              <w:left w:val="single" w:color="CCCCCC" w:sz="1"/>
              <w:bottom w:val="single" w:color="CCCCCC" w:sz="1"/>
              <w:right w:val="single" w:color="CCCCCC" w:sz="1"/>
            </w:tcBorders>
          </w:tcPr>
          <w:p>
            <w:r>
              <w:rPr>
                <w:sz w:val="20"/>
                <w:szCs w:val="20"/>
              </w:rPr>
              <w:t xml:space="preserve">LLM/RAG</w:t>
            </w:r>
          </w:p>
        </w:tc>
        <w:tc>
          <w:tcPr>
            <w:tcBorders>
              <w:top w:val="single" w:color="CCCCCC" w:sz="1"/>
              <w:left w:val="single" w:color="CCCCCC" w:sz="1"/>
              <w:bottom w:val="single" w:color="CCCCCC" w:sz="1"/>
              <w:right w:val="single" w:color="CCCCCC" w:sz="1"/>
            </w:tcBorders>
          </w:tcPr>
          <w:p>
            <w:r>
              <w:rPr>
                <w:sz w:val="20"/>
                <w:szCs w:val="20"/>
              </w:rPr>
              <w:t xml:space="preserve">Evidence citation &amp; uncertainty</w:t>
            </w:r>
          </w:p>
        </w:tc>
        <w:tc>
          <w:tcPr>
            <w:tcBorders>
              <w:top w:val="single" w:color="CCCCCC" w:sz="1"/>
              <w:left w:val="single" w:color="CCCCCC" w:sz="1"/>
              <w:bottom w:val="single" w:color="CCCCCC" w:sz="1"/>
              <w:right w:val="single" w:color="CCCCCC" w:sz="1"/>
            </w:tcBorders>
          </w:tcPr>
          <w:p>
            <w:r>
              <w:rPr>
                <w:sz w:val="20"/>
                <w:szCs w:val="20"/>
              </w:rPr>
              <w:t xml:space="preserve">Low</w:t>
            </w:r>
          </w:p>
        </w:tc>
        <w:tc>
          <w:tcPr>
            <w:tcBorders>
              <w:top w:val="single" w:color="CCCCCC" w:sz="1"/>
              <w:left w:val="single" w:color="CCCCCC" w:sz="1"/>
              <w:bottom w:val="single" w:color="CCCCCC" w:sz="1"/>
              <w:right w:val="single" w:color="CCCCCC" w:sz="1"/>
            </w:tcBorders>
          </w:tcPr>
          <w:p>
            <w:r>
              <w:rPr>
                <w:sz w:val="20"/>
                <w:szCs w:val="20"/>
              </w:rPr>
              <w:t xml:space="preserve">2.3</w:t>
            </w:r>
          </w:p>
        </w:tc>
      </w:tr>
      <w:tr>
        <w:tc>
          <w:tcPr>
            <w:tcBorders>
              <w:top w:val="single" w:color="CCCCCC" w:sz="1"/>
              <w:left w:val="single" w:color="CCCCCC" w:sz="1"/>
              <w:bottom w:val="single" w:color="CCCCCC" w:sz="1"/>
              <w:right w:val="single" w:color="CCCCCC" w:sz="1"/>
            </w:tcBorders>
            <w:shd w:fill="feebc8" w:val="clear"/>
          </w:tcPr>
          <w:p>
            <w:r>
              <w:rPr>
                <w:b/>
                <w:bCs/>
                <w:color w:val="c05621"/>
                <w:sz w:val="20"/>
                <w:szCs w:val="20"/>
              </w:rPr>
              <w:t xml:space="preserve">Phase 2</w:t>
            </w:r>
          </w:p>
        </w:tc>
        <w:tc>
          <w:tcPr>
            <w:tcBorders>
              <w:top w:val="single" w:color="CCCCCC" w:sz="1"/>
              <w:left w:val="single" w:color="CCCCCC" w:sz="1"/>
              <w:bottom w:val="single" w:color="CCCCCC" w:sz="1"/>
              <w:right w:val="single" w:color="CCCCCC" w:sz="1"/>
            </w:tcBorders>
          </w:tcPr>
          <w:p>
            <w:r>
              <w:rPr>
                <w:sz w:val="20"/>
                <w:szCs w:val="20"/>
              </w:rPr>
              <w:t xml:space="preserve">Infrastructure</w:t>
            </w:r>
          </w:p>
        </w:tc>
        <w:tc>
          <w:tcPr>
            <w:tcBorders>
              <w:top w:val="single" w:color="CCCCCC" w:sz="1"/>
              <w:left w:val="single" w:color="CCCCCC" w:sz="1"/>
              <w:bottom w:val="single" w:color="CCCCCC" w:sz="1"/>
              <w:right w:val="single" w:color="CCCCCC" w:sz="1"/>
            </w:tcBorders>
          </w:tcPr>
          <w:p>
            <w:r>
              <w:rPr>
                <w:sz w:val="20"/>
                <w:szCs w:val="20"/>
              </w:rPr>
              <w:t xml:space="preserve">Expanded test suite &amp; CI</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2.4</w:t>
            </w:r>
          </w:p>
        </w:tc>
      </w:tr>
      <w:tr>
        <w:tc>
          <w:tcPr>
            <w:tcBorders>
              <w:top w:val="single" w:color="CCCCCC" w:sz="1"/>
              <w:left w:val="single" w:color="CCCCCC" w:sz="1"/>
              <w:bottom w:val="single" w:color="CCCCCC" w:sz="1"/>
              <w:right w:val="single" w:color="CCCCCC" w:sz="1"/>
            </w:tcBorders>
            <w:shd w:fill="c6f6d5" w:val="clear"/>
          </w:tcPr>
          <w:p>
            <w:r>
              <w:rPr>
                <w:b/>
                <w:bCs/>
                <w:color w:val="276749"/>
                <w:sz w:val="20"/>
                <w:szCs w:val="20"/>
              </w:rPr>
              <w:t xml:space="preserve">Phase 3</w:t>
            </w:r>
          </w:p>
        </w:tc>
        <w:tc>
          <w:tcPr>
            <w:tcBorders>
              <w:top w:val="single" w:color="CCCCCC" w:sz="1"/>
              <w:left w:val="single" w:color="CCCCCC" w:sz="1"/>
              <w:bottom w:val="single" w:color="CCCCCC" w:sz="1"/>
              <w:right w:val="single" w:color="CCCCCC" w:sz="1"/>
            </w:tcBorders>
          </w:tcPr>
          <w:p>
            <w:r>
              <w:rPr>
                <w:sz w:val="20"/>
                <w:szCs w:val="20"/>
              </w:rPr>
              <w:t xml:space="preserve">Perception</w:t>
            </w:r>
          </w:p>
        </w:tc>
        <w:tc>
          <w:tcPr>
            <w:tcBorders>
              <w:top w:val="single" w:color="CCCCCC" w:sz="1"/>
              <w:left w:val="single" w:color="CCCCCC" w:sz="1"/>
              <w:bottom w:val="single" w:color="CCCCCC" w:sz="1"/>
              <w:right w:val="single" w:color="CCCCCC" w:sz="1"/>
            </w:tcBorders>
          </w:tcPr>
          <w:p>
            <w:r>
              <w:rPr>
                <w:sz w:val="20"/>
                <w:szCs w:val="20"/>
              </w:rPr>
              <w:t xml:space="preserve">Inverse velocity failure prediction</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3.1</w:t>
            </w:r>
          </w:p>
        </w:tc>
      </w:tr>
      <w:tr>
        <w:tc>
          <w:tcPr>
            <w:tcBorders>
              <w:top w:val="single" w:color="CCCCCC" w:sz="1"/>
              <w:left w:val="single" w:color="CCCCCC" w:sz="1"/>
              <w:bottom w:val="single" w:color="CCCCCC" w:sz="1"/>
              <w:right w:val="single" w:color="CCCCCC" w:sz="1"/>
            </w:tcBorders>
            <w:shd w:fill="c6f6d5" w:val="clear"/>
          </w:tcPr>
          <w:p>
            <w:r>
              <w:rPr>
                <w:b/>
                <w:bCs/>
                <w:color w:val="276749"/>
                <w:sz w:val="20"/>
                <w:szCs w:val="20"/>
              </w:rPr>
              <w:t xml:space="preserve">Phase 3</w:t>
            </w:r>
          </w:p>
        </w:tc>
        <w:tc>
          <w:tcPr>
            <w:tcBorders>
              <w:top w:val="single" w:color="CCCCCC" w:sz="1"/>
              <w:left w:val="single" w:color="CCCCCC" w:sz="1"/>
              <w:bottom w:val="single" w:color="CCCCCC" w:sz="1"/>
              <w:right w:val="single" w:color="CCCCCC" w:sz="1"/>
            </w:tcBorders>
          </w:tcPr>
          <w:p>
            <w:r>
              <w:rPr>
                <w:sz w:val="20"/>
                <w:szCs w:val="20"/>
              </w:rPr>
              <w:t xml:space="preserve">Perception</w:t>
            </w:r>
          </w:p>
        </w:tc>
        <w:tc>
          <w:tcPr>
            <w:tcBorders>
              <w:top w:val="single" w:color="CCCCCC" w:sz="1"/>
              <w:left w:val="single" w:color="CCCCCC" w:sz="1"/>
              <w:bottom w:val="single" w:color="CCCCCC" w:sz="1"/>
              <w:right w:val="single" w:color="CCCCCC" w:sz="1"/>
            </w:tcBorders>
          </w:tcPr>
          <w:p>
            <w:r>
              <w:rPr>
                <w:sz w:val="20"/>
                <w:szCs w:val="20"/>
              </w:rPr>
              <w:t xml:space="preserve">Unsupervised anomaly detection</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3.2</w:t>
            </w:r>
          </w:p>
        </w:tc>
      </w:tr>
      <w:tr>
        <w:tc>
          <w:tcPr>
            <w:tcBorders>
              <w:top w:val="single" w:color="CCCCCC" w:sz="1"/>
              <w:left w:val="single" w:color="CCCCCC" w:sz="1"/>
              <w:bottom w:val="single" w:color="CCCCCC" w:sz="1"/>
              <w:right w:val="single" w:color="CCCCCC" w:sz="1"/>
            </w:tcBorders>
            <w:shd w:fill="c6f6d5" w:val="clear"/>
          </w:tcPr>
          <w:p>
            <w:r>
              <w:rPr>
                <w:b/>
                <w:bCs/>
                <w:color w:val="276749"/>
                <w:sz w:val="20"/>
                <w:szCs w:val="20"/>
              </w:rPr>
              <w:t xml:space="preserve">Phase 3</w:t>
            </w:r>
          </w:p>
        </w:tc>
        <w:tc>
          <w:tcPr>
            <w:tcBorders>
              <w:top w:val="single" w:color="CCCCCC" w:sz="1"/>
              <w:left w:val="single" w:color="CCCCCC" w:sz="1"/>
              <w:bottom w:val="single" w:color="CCCCCC" w:sz="1"/>
              <w:right w:val="single" w:color="CCCCCC" w:sz="1"/>
            </w:tcBorders>
          </w:tcPr>
          <w:p>
            <w:r>
              <w:rPr>
                <w:sz w:val="20"/>
                <w:szCs w:val="20"/>
              </w:rPr>
              <w:t xml:space="preserve">Infrastructure</w:t>
            </w:r>
          </w:p>
        </w:tc>
        <w:tc>
          <w:tcPr>
            <w:tcBorders>
              <w:top w:val="single" w:color="CCCCCC" w:sz="1"/>
              <w:left w:val="single" w:color="CCCCCC" w:sz="1"/>
              <w:bottom w:val="single" w:color="CCCCCC" w:sz="1"/>
              <w:right w:val="single" w:color="CCCCCC" w:sz="1"/>
            </w:tcBorders>
          </w:tcPr>
          <w:p>
            <w:r>
              <w:rPr>
                <w:sz w:val="20"/>
                <w:szCs w:val="20"/>
              </w:rPr>
              <w:t xml:space="preserve">Simulation harness expansion</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3.3</w:t>
            </w:r>
          </w:p>
        </w:tc>
      </w:tr>
      <w:tr>
        <w:tc>
          <w:tcPr>
            <w:tcBorders>
              <w:top w:val="single" w:color="CCCCCC" w:sz="1"/>
              <w:left w:val="single" w:color="CCCCCC" w:sz="1"/>
              <w:bottom w:val="single" w:color="CCCCCC" w:sz="1"/>
              <w:right w:val="single" w:color="CCCCCC" w:sz="1"/>
            </w:tcBorders>
            <w:shd w:fill="c6f6d5" w:val="clear"/>
          </w:tcPr>
          <w:p>
            <w:r>
              <w:rPr>
                <w:b/>
                <w:bCs/>
                <w:color w:val="276749"/>
                <w:sz w:val="20"/>
                <w:szCs w:val="20"/>
              </w:rPr>
              <w:t xml:space="preserve">Phase 3</w:t>
            </w:r>
          </w:p>
        </w:tc>
        <w:tc>
          <w:tcPr>
            <w:tcBorders>
              <w:top w:val="single" w:color="CCCCCC" w:sz="1"/>
              <w:left w:val="single" w:color="CCCCCC" w:sz="1"/>
              <w:bottom w:val="single" w:color="CCCCCC" w:sz="1"/>
              <w:right w:val="single" w:color="CCCCCC" w:sz="1"/>
            </w:tcBorders>
          </w:tcPr>
          <w:p>
            <w:r>
              <w:rPr>
                <w:sz w:val="20"/>
                <w:szCs w:val="20"/>
              </w:rPr>
              <w:t xml:space="preserve">LLM/RAG</w:t>
            </w:r>
          </w:p>
        </w:tc>
        <w:tc>
          <w:tcPr>
            <w:tcBorders>
              <w:top w:val="single" w:color="CCCCCC" w:sz="1"/>
              <w:left w:val="single" w:color="CCCCCC" w:sz="1"/>
              <w:bottom w:val="single" w:color="CCCCCC" w:sz="1"/>
              <w:right w:val="single" w:color="CCCCCC" w:sz="1"/>
            </w:tcBorders>
          </w:tcPr>
          <w:p>
            <w:r>
              <w:rPr>
                <w:sz w:val="20"/>
                <w:szCs w:val="20"/>
              </w:rPr>
              <w:t xml:space="preserve">Historical pattern matching</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3.4</w:t>
            </w:r>
          </w:p>
        </w:tc>
      </w:tr>
      <w:tr>
        <w:tc>
          <w:tcPr>
            <w:tcBorders>
              <w:top w:val="single" w:color="CCCCCC" w:sz="1"/>
              <w:left w:val="single" w:color="CCCCCC" w:sz="1"/>
              <w:bottom w:val="single" w:color="CCCCCC" w:sz="1"/>
              <w:right w:val="single" w:color="CCCCCC" w:sz="1"/>
            </w:tcBorders>
            <w:shd w:fill="e2e8f0" w:val="clear"/>
          </w:tcPr>
          <w:p>
            <w:r>
              <w:rPr>
                <w:b/>
                <w:bCs/>
                <w:color w:val="4a5568"/>
                <w:sz w:val="20"/>
                <w:szCs w:val="20"/>
              </w:rPr>
              <w:t xml:space="preserve">Phase 4</w:t>
            </w:r>
          </w:p>
        </w:tc>
        <w:tc>
          <w:tcPr>
            <w:tcBorders>
              <w:top w:val="single" w:color="CCCCCC" w:sz="1"/>
              <w:left w:val="single" w:color="CCCCCC" w:sz="1"/>
              <w:bottom w:val="single" w:color="CCCCCC" w:sz="1"/>
              <w:right w:val="single" w:color="CCCCCC" w:sz="1"/>
            </w:tcBorders>
          </w:tcPr>
          <w:p>
            <w:r>
              <w:rPr>
                <w:sz w:val="20"/>
                <w:szCs w:val="20"/>
              </w:rPr>
              <w:t xml:space="preserve">Symbolic</w:t>
            </w:r>
          </w:p>
        </w:tc>
        <w:tc>
          <w:tcPr>
            <w:tcBorders>
              <w:top w:val="single" w:color="CCCCCC" w:sz="1"/>
              <w:left w:val="single" w:color="CCCCCC" w:sz="1"/>
              <w:bottom w:val="single" w:color="CCCCCC" w:sz="1"/>
              <w:right w:val="single" w:color="CCCCCC" w:sz="1"/>
            </w:tcBorders>
          </w:tcPr>
          <w:p>
            <w:r>
              <w:rPr>
                <w:sz w:val="20"/>
                <w:szCs w:val="20"/>
              </w:rPr>
              <w:t xml:space="preserve">NBRO six-factor hazard weighting</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4.1</w:t>
            </w:r>
          </w:p>
        </w:tc>
      </w:tr>
      <w:tr>
        <w:tc>
          <w:tcPr>
            <w:tcBorders>
              <w:top w:val="single" w:color="CCCCCC" w:sz="1"/>
              <w:left w:val="single" w:color="CCCCCC" w:sz="1"/>
              <w:bottom w:val="single" w:color="CCCCCC" w:sz="1"/>
              <w:right w:val="single" w:color="CCCCCC" w:sz="1"/>
            </w:tcBorders>
            <w:shd w:fill="e2e8f0" w:val="clear"/>
          </w:tcPr>
          <w:p>
            <w:r>
              <w:rPr>
                <w:b/>
                <w:bCs/>
                <w:color w:val="4a5568"/>
                <w:sz w:val="20"/>
                <w:szCs w:val="20"/>
              </w:rPr>
              <w:t xml:space="preserve">Phase 4</w:t>
            </w:r>
          </w:p>
        </w:tc>
        <w:tc>
          <w:tcPr>
            <w:tcBorders>
              <w:top w:val="single" w:color="CCCCCC" w:sz="1"/>
              <w:left w:val="single" w:color="CCCCCC" w:sz="1"/>
              <w:bottom w:val="single" w:color="CCCCCC" w:sz="1"/>
              <w:right w:val="single" w:color="CCCCCC" w:sz="1"/>
            </w:tcBorders>
          </w:tcPr>
          <w:p>
            <w:r>
              <w:rPr>
                <w:sz w:val="20"/>
                <w:szCs w:val="20"/>
              </w:rPr>
              <w:t xml:space="preserve">Perception</w:t>
            </w:r>
          </w:p>
        </w:tc>
        <w:tc>
          <w:tcPr>
            <w:tcBorders>
              <w:top w:val="single" w:color="CCCCCC" w:sz="1"/>
              <w:left w:val="single" w:color="CCCCCC" w:sz="1"/>
              <w:bottom w:val="single" w:color="CCCCCC" w:sz="1"/>
              <w:right w:val="single" w:color="CCCCCC" w:sz="1"/>
            </w:tcBorders>
          </w:tcPr>
          <w:p>
            <w:r>
              <w:rPr>
                <w:sz w:val="20"/>
                <w:szCs w:val="20"/>
              </w:rPr>
              <w:t xml:space="preserve">Advanced ML models (LSTM/Transformer)</w:t>
            </w:r>
          </w:p>
        </w:tc>
        <w:tc>
          <w:tcPr>
            <w:tcBorders>
              <w:top w:val="single" w:color="CCCCCC" w:sz="1"/>
              <w:left w:val="single" w:color="CCCCCC" w:sz="1"/>
              <w:bottom w:val="single" w:color="CCCCCC" w:sz="1"/>
              <w:right w:val="single" w:color="CCCCCC" w:sz="1"/>
            </w:tcBorders>
          </w:tcPr>
          <w:p>
            <w:r>
              <w:rPr>
                <w:sz w:val="20"/>
                <w:szCs w:val="20"/>
              </w:rPr>
              <w:t xml:space="preserve">Very High</w:t>
            </w:r>
          </w:p>
        </w:tc>
        <w:tc>
          <w:tcPr>
            <w:tcBorders>
              <w:top w:val="single" w:color="CCCCCC" w:sz="1"/>
              <w:left w:val="single" w:color="CCCCCC" w:sz="1"/>
              <w:bottom w:val="single" w:color="CCCCCC" w:sz="1"/>
              <w:right w:val="single" w:color="CCCCCC" w:sz="1"/>
            </w:tcBorders>
          </w:tcPr>
          <w:p>
            <w:r>
              <w:rPr>
                <w:sz w:val="20"/>
                <w:szCs w:val="20"/>
              </w:rPr>
              <w:t xml:space="preserve">4.2</w:t>
            </w:r>
          </w:p>
        </w:tc>
      </w:tr>
      <w:tr>
        <w:tc>
          <w:tcPr>
            <w:tcBorders>
              <w:top w:val="single" w:color="CCCCCC" w:sz="1"/>
              <w:left w:val="single" w:color="CCCCCC" w:sz="1"/>
              <w:bottom w:val="single" w:color="CCCCCC" w:sz="1"/>
              <w:right w:val="single" w:color="CCCCCC" w:sz="1"/>
            </w:tcBorders>
            <w:shd w:fill="e2e8f0" w:val="clear"/>
          </w:tcPr>
          <w:p>
            <w:r>
              <w:rPr>
                <w:b/>
                <w:bCs/>
                <w:color w:val="4a5568"/>
                <w:sz w:val="20"/>
                <w:szCs w:val="20"/>
              </w:rPr>
              <w:t xml:space="preserve">Phase 4</w:t>
            </w:r>
          </w:p>
        </w:tc>
        <w:tc>
          <w:tcPr>
            <w:tcBorders>
              <w:top w:val="single" w:color="CCCCCC" w:sz="1"/>
              <w:left w:val="single" w:color="CCCCCC" w:sz="1"/>
              <w:bottom w:val="single" w:color="CCCCCC" w:sz="1"/>
              <w:right w:val="single" w:color="CCCCCC" w:sz="1"/>
            </w:tcBorders>
          </w:tcPr>
          <w:p>
            <w:r>
              <w:rPr>
                <w:sz w:val="20"/>
                <w:szCs w:val="20"/>
              </w:rPr>
              <w:t xml:space="preserve">LLM/RAG</w:t>
            </w:r>
          </w:p>
        </w:tc>
        <w:tc>
          <w:tcPr>
            <w:tcBorders>
              <w:top w:val="single" w:color="CCCCCC" w:sz="1"/>
              <w:left w:val="single" w:color="CCCCCC" w:sz="1"/>
              <w:bottom w:val="single" w:color="CCCCCC" w:sz="1"/>
              <w:right w:val="single" w:color="CCCCCC" w:sz="1"/>
            </w:tcBorders>
          </w:tcPr>
          <w:p>
            <w:r>
              <w:rPr>
                <w:sz w:val="20"/>
                <w:szCs w:val="20"/>
              </w:rPr>
              <w:t xml:space="preserve">Exposure &amp; vulnerability integration</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4.3</w:t>
            </w:r>
          </w:p>
        </w:tc>
      </w:tr>
      <w:tr>
        <w:tc>
          <w:tcPr>
            <w:tcBorders>
              <w:top w:val="single" w:color="CCCCCC" w:sz="1"/>
              <w:left w:val="single" w:color="CCCCCC" w:sz="1"/>
              <w:bottom w:val="single" w:color="CCCCCC" w:sz="1"/>
              <w:right w:val="single" w:color="CCCCCC" w:sz="1"/>
            </w:tcBorders>
            <w:shd w:fill="e2e8f0" w:val="clear"/>
          </w:tcPr>
          <w:p>
            <w:r>
              <w:rPr>
                <w:b/>
                <w:bCs/>
                <w:color w:val="4a5568"/>
                <w:sz w:val="20"/>
                <w:szCs w:val="20"/>
              </w:rPr>
              <w:t xml:space="preserve">Phase 4</w:t>
            </w:r>
          </w:p>
        </w:tc>
        <w:tc>
          <w:tcPr>
            <w:tcBorders>
              <w:top w:val="single" w:color="CCCCCC" w:sz="1"/>
              <w:left w:val="single" w:color="CCCCCC" w:sz="1"/>
              <w:bottom w:val="single" w:color="CCCCCC" w:sz="1"/>
              <w:right w:val="single" w:color="CCCCCC" w:sz="1"/>
            </w:tcBorders>
          </w:tcPr>
          <w:p>
            <w:r>
              <w:rPr>
                <w:sz w:val="20"/>
                <w:szCs w:val="20"/>
              </w:rPr>
              <w:t xml:space="preserve">LLM/RAG</w:t>
            </w:r>
          </w:p>
        </w:tc>
        <w:tc>
          <w:tcPr>
            <w:tcBorders>
              <w:top w:val="single" w:color="CCCCCC" w:sz="1"/>
              <w:left w:val="single" w:color="CCCCCC" w:sz="1"/>
              <w:bottom w:val="single" w:color="CCCCCC" w:sz="1"/>
              <w:right w:val="single" w:color="CCCCCC" w:sz="1"/>
            </w:tcBorders>
          </w:tcPr>
          <w:p>
            <w:r>
              <w:rPr>
                <w:sz w:val="20"/>
                <w:szCs w:val="20"/>
              </w:rPr>
              <w:t xml:space="preserve">Multilingual alerts &amp; dashboard</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4.4</w:t>
            </w:r>
          </w:p>
        </w:tc>
      </w:tr>
      <w:tr>
        <w:tc>
          <w:tcPr>
            <w:tcBorders>
              <w:top w:val="single" w:color="CCCCCC" w:sz="1"/>
              <w:left w:val="single" w:color="CCCCCC" w:sz="1"/>
              <w:bottom w:val="single" w:color="CCCCCC" w:sz="1"/>
              <w:right w:val="single" w:color="CCCCCC" w:sz="1"/>
            </w:tcBorders>
            <w:shd w:fill="e2e8f0" w:val="clear"/>
          </w:tcPr>
          <w:p>
            <w:r>
              <w:rPr>
                <w:b/>
                <w:bCs/>
                <w:color w:val="4a5568"/>
                <w:sz w:val="20"/>
                <w:szCs w:val="20"/>
              </w:rPr>
              <w:t xml:space="preserve">Phase 4</w:t>
            </w:r>
          </w:p>
        </w:tc>
        <w:tc>
          <w:tcPr>
            <w:tcBorders>
              <w:top w:val="single" w:color="CCCCCC" w:sz="1"/>
              <w:left w:val="single" w:color="CCCCCC" w:sz="1"/>
              <w:bottom w:val="single" w:color="CCCCCC" w:sz="1"/>
              <w:right w:val="single" w:color="CCCCCC" w:sz="1"/>
            </w:tcBorders>
          </w:tcPr>
          <w:p>
            <w:r>
              <w:rPr>
                <w:sz w:val="20"/>
                <w:szCs w:val="20"/>
              </w:rPr>
              <w:t xml:space="preserve">Infrastructure</w:t>
            </w:r>
          </w:p>
        </w:tc>
        <w:tc>
          <w:tcPr>
            <w:tcBorders>
              <w:top w:val="single" w:color="CCCCCC" w:sz="1"/>
              <w:left w:val="single" w:color="CCCCCC" w:sz="1"/>
              <w:bottom w:val="single" w:color="CCCCCC" w:sz="1"/>
              <w:right w:val="single" w:color="CCCCCC" w:sz="1"/>
            </w:tcBorders>
          </w:tcPr>
          <w:p>
            <w:r>
              <w:rPr>
                <w:sz w:val="20"/>
                <w:szCs w:val="20"/>
              </w:rPr>
              <w:t xml:space="preserve">Operator feedback loops</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4.5</w:t>
            </w:r>
          </w:p>
        </w:tc>
      </w:tr>
      <w:tr>
        <w:tc>
          <w:tcPr>
            <w:tcBorders>
              <w:top w:val="single" w:color="CCCCCC" w:sz="1"/>
              <w:left w:val="single" w:color="CCCCCC" w:sz="1"/>
              <w:bottom w:val="single" w:color="CCCCCC" w:sz="1"/>
              <w:right w:val="single" w:color="CCCCCC" w:sz="1"/>
            </w:tcBorders>
            <w:shd w:fill="e2e8f0" w:val="clear"/>
          </w:tcPr>
          <w:p>
            <w:r>
              <w:rPr>
                <w:b/>
                <w:bCs/>
                <w:color w:val="4a5568"/>
                <w:sz w:val="20"/>
                <w:szCs w:val="20"/>
              </w:rPr>
              <w:t xml:space="preserve">Phase 4</w:t>
            </w:r>
          </w:p>
        </w:tc>
        <w:tc>
          <w:tcPr>
            <w:tcBorders>
              <w:top w:val="single" w:color="CCCCCC" w:sz="1"/>
              <w:left w:val="single" w:color="CCCCCC" w:sz="1"/>
              <w:bottom w:val="single" w:color="CCCCCC" w:sz="1"/>
              <w:right w:val="single" w:color="CCCCCC" w:sz="1"/>
            </w:tcBorders>
          </w:tcPr>
          <w:p>
            <w:r>
              <w:rPr>
                <w:sz w:val="20"/>
                <w:szCs w:val="20"/>
              </w:rPr>
              <w:t xml:space="preserve">LLM/RAG</w:t>
            </w:r>
          </w:p>
        </w:tc>
        <w:tc>
          <w:tcPr>
            <w:tcBorders>
              <w:top w:val="single" w:color="CCCCCC" w:sz="1"/>
              <w:left w:val="single" w:color="CCCCCC" w:sz="1"/>
              <w:bottom w:val="single" w:color="CCCCCC" w:sz="1"/>
              <w:right w:val="single" w:color="CCCCCC" w:sz="1"/>
            </w:tcBorders>
          </w:tcPr>
          <w:p>
            <w:r>
              <w:rPr>
                <w:sz w:val="20"/>
                <w:szCs w:val="20"/>
              </w:rPr>
              <w:t xml:space="preserve">LLM fine-tuning for risk narratives</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4.6</w:t>
            </w:r>
          </w:p>
        </w:tc>
      </w:tr>
    </w:tbl>
    <w:p>
      <w:pPr>
        <w:pStyle w:val="Heading1"/>
      </w:pPr>
      <w:r>
        <w:t xml:space="preserve">Success Metrics</w:t>
      </w:r>
    </w:p>
    <w:p>
      <w:pPr>
        <w:spacing w:after="150"/>
      </w:pPr>
      <w:r>
        <w:t xml:space="preserve">Each phase has quantitative success criteria that define when a task is complete. These metrics enable objective progress tracking and ensure quality standards are maintained.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Metric</w:t>
            </w:r>
          </w:p>
        </w:tc>
        <w:tc>
          <w:tcPr>
            <w:tcW w:type="dxa" w:w="376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Target</w:t>
            </w:r>
          </w:p>
        </w:tc>
      </w:tr>
      <w:tr>
        <w:tc>
          <w:tcPr>
            <w:vMerge w:val="restart"/>
            <w:tcBorders>
              <w:top w:val="single" w:color="CCCCCC" w:sz="1"/>
              <w:left w:val="single" w:color="CCCCCC" w:sz="1"/>
              <w:bottom w:val="single" w:color="CCCCCC" w:sz="1"/>
              <w:right w:val="single" w:color="CCCCCC" w:sz="1"/>
            </w:tcBorders>
            <w:shd w:fill="f7fafc" w:val="clear"/>
          </w:tcPr>
          <w:p>
            <w:r>
              <w:rPr>
                <w:b/>
                <w:bCs/>
                <w:sz w:val="20"/>
                <w:szCs w:val="20"/>
              </w:rPr>
              <w:t xml:space="preserve">Alert Quality</w:t>
            </w:r>
          </w:p>
        </w:tc>
        <w:tc>
          <w:tcPr>
            <w:tcBorders>
              <w:top w:val="single" w:color="CCCCCC" w:sz="1"/>
              <w:left w:val="single" w:color="CCCCCC" w:sz="1"/>
              <w:bottom w:val="single" w:color="CCCCCC" w:sz="1"/>
              <w:right w:val="single" w:color="CCCCCC" w:sz="1"/>
            </w:tcBorders>
          </w:tcPr>
          <w:p>
            <w:r>
              <w:rPr>
                <w:sz w:val="20"/>
                <w:szCs w:val="20"/>
              </w:rPr>
              <w:t xml:space="preserve">False Positive Rate</w:t>
            </w:r>
          </w:p>
        </w:tc>
        <w:tc>
          <w:tcPr>
            <w:tcBorders>
              <w:top w:val="single" w:color="CCCCCC" w:sz="1"/>
              <w:left w:val="single" w:color="CCCCCC" w:sz="1"/>
              <w:bottom w:val="single" w:color="CCCCCC" w:sz="1"/>
              <w:right w:val="single" w:color="CCCCCC" w:sz="1"/>
            </w:tcBorders>
          </w:tcPr>
          <w:p>
            <w:r>
              <w:rPr>
                <w:sz w:val="20"/>
                <w:szCs w:val="20"/>
              </w:rPr>
              <w:t xml:space="preserve">≤15% (Yellow), ≤10% (Orange), ≤5% (Red)</w:t>
            </w:r>
          </w:p>
        </w:tc>
      </w:tr>
      <w:tr>
        <w:tc>
          <w:tcPr>
            <w:vMerge w:val="continue"/>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r>
              <w:rPr>
                <w:sz w:val="20"/>
                <w:szCs w:val="20"/>
              </w:rPr>
              <w:t xml:space="preserve">False Negative Rate</w:t>
            </w:r>
          </w:p>
        </w:tc>
        <w:tc>
          <w:tcPr>
            <w:tcBorders>
              <w:top w:val="single" w:color="CCCCCC" w:sz="1"/>
              <w:left w:val="single" w:color="CCCCCC" w:sz="1"/>
              <w:bottom w:val="single" w:color="CCCCCC" w:sz="1"/>
              <w:right w:val="single" w:color="CCCCCC" w:sz="1"/>
            </w:tcBorders>
          </w:tcPr>
          <w:p>
            <w:r>
              <w:rPr>
                <w:sz w:val="20"/>
                <w:szCs w:val="20"/>
              </w:rPr>
              <w:t xml:space="preserve">≤5% for actual landslide events</w:t>
            </w:r>
          </w:p>
        </w:tc>
      </w:tr>
      <w:tr>
        <w:tc>
          <w:tcPr>
            <w:vMerge w:val="continue"/>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r>
              <w:rPr>
                <w:sz w:val="20"/>
                <w:szCs w:val="20"/>
              </w:rPr>
              <w:t xml:space="preserve">Alert Lead Time</w:t>
            </w:r>
          </w:p>
        </w:tc>
        <w:tc>
          <w:tcPr>
            <w:tcBorders>
              <w:top w:val="single" w:color="CCCCCC" w:sz="1"/>
              <w:left w:val="single" w:color="CCCCCC" w:sz="1"/>
              <w:bottom w:val="single" w:color="CCCCCC" w:sz="1"/>
              <w:right w:val="single" w:color="CCCCCC" w:sz="1"/>
            </w:tcBorders>
          </w:tcPr>
          <w:p>
            <w:r>
              <w:rPr>
                <w:sz w:val="20"/>
                <w:szCs w:val="20"/>
              </w:rPr>
              <w:t xml:space="preserve">≥2 hours before failure (median)</w:t>
            </w:r>
          </w:p>
        </w:tc>
      </w:tr>
      <w:tr>
        <w:tc>
          <w:tcPr>
            <w:vMerge w:val="restart"/>
            <w:tcBorders>
              <w:top w:val="single" w:color="CCCCCC" w:sz="1"/>
              <w:left w:val="single" w:color="CCCCCC" w:sz="1"/>
              <w:bottom w:val="single" w:color="CCCCCC" w:sz="1"/>
              <w:right w:val="single" w:color="CCCCCC" w:sz="1"/>
            </w:tcBorders>
            <w:shd w:fill="f7fafc" w:val="clear"/>
          </w:tcPr>
          <w:p>
            <w:r>
              <w:rPr>
                <w:b/>
                <w:bCs/>
                <w:sz w:val="20"/>
                <w:szCs w:val="20"/>
              </w:rPr>
              <w:t xml:space="preserve">Trend Detection</w:t>
            </w:r>
          </w:p>
        </w:tc>
        <w:tc>
          <w:tcPr>
            <w:tcBorders>
              <w:top w:val="single" w:color="CCCCCC" w:sz="1"/>
              <w:left w:val="single" w:color="CCCCCC" w:sz="1"/>
              <w:bottom w:val="single" w:color="CCCCCC" w:sz="1"/>
              <w:right w:val="single" w:color="CCCCCC" w:sz="1"/>
            </w:tcBorders>
          </w:tcPr>
          <w:p>
            <w:r>
              <w:rPr>
                <w:sz w:val="20"/>
                <w:szCs w:val="20"/>
              </w:rPr>
              <w:t xml:space="preserve">Trend R² (valid predictions)</w:t>
            </w:r>
          </w:p>
        </w:tc>
        <w:tc>
          <w:tcPr>
            <w:tcBorders>
              <w:top w:val="single" w:color="CCCCCC" w:sz="1"/>
              <w:left w:val="single" w:color="CCCCCC" w:sz="1"/>
              <w:bottom w:val="single" w:color="CCCCCC" w:sz="1"/>
              <w:right w:val="single" w:color="CCCCCC" w:sz="1"/>
            </w:tcBorders>
          </w:tcPr>
          <w:p>
            <w:r>
              <w:rPr>
                <w:sz w:val="20"/>
                <w:szCs w:val="20"/>
              </w:rPr>
              <w:t xml:space="preserve">≥0.7 for trend slopes used in scoring</w:t>
            </w:r>
          </w:p>
        </w:tc>
      </w:tr>
      <w:tr>
        <w:tc>
          <w:tcPr>
            <w:vMerge w:val="continue"/>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r>
              <w:rPr>
                <w:sz w:val="20"/>
                <w:szCs w:val="20"/>
              </w:rPr>
              <w:t xml:space="preserve">Inverse Velocity R²</w:t>
            </w:r>
          </w:p>
        </w:tc>
        <w:tc>
          <w:tcPr>
            <w:tcBorders>
              <w:top w:val="single" w:color="CCCCCC" w:sz="1"/>
              <w:left w:val="single" w:color="CCCCCC" w:sz="1"/>
              <w:bottom w:val="single" w:color="CCCCCC" w:sz="1"/>
              <w:right w:val="single" w:color="CCCCCC" w:sz="1"/>
            </w:tcBorders>
          </w:tcPr>
          <w:p>
            <w:r>
              <w:rPr>
                <w:sz w:val="20"/>
                <w:szCs w:val="20"/>
              </w:rPr>
              <w:t xml:space="preserve">≥0.7 for failure time predictions</w:t>
            </w:r>
          </w:p>
        </w:tc>
      </w:tr>
      <w:tr>
        <w:tc>
          <w:tcPr>
            <w:vMerge w:val="continue"/>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r>
              <w:rPr>
                <w:sz w:val="20"/>
                <w:szCs w:val="20"/>
              </w:rPr>
              <w:t xml:space="preserve">Trend Detection Latency</w:t>
            </w:r>
          </w:p>
        </w:tc>
        <w:tc>
          <w:tcPr>
            <w:tcBorders>
              <w:top w:val="single" w:color="CCCCCC" w:sz="1"/>
              <w:left w:val="single" w:color="CCCCCC" w:sz="1"/>
              <w:bottom w:val="single" w:color="CCCCCC" w:sz="1"/>
              <w:right w:val="single" w:color="CCCCCC" w:sz="1"/>
            </w:tcBorders>
          </w:tcPr>
          <w:p>
            <w:r>
              <w:rPr>
                <w:sz w:val="20"/>
                <w:szCs w:val="20"/>
              </w:rPr>
              <w:t xml:space="preserve">≤30 minutes from onset to detection</w:t>
            </w:r>
          </w:p>
        </w:tc>
      </w:tr>
      <w:tr>
        <w:tc>
          <w:tcPr>
            <w:vMerge w:val="restart"/>
            <w:tcBorders>
              <w:top w:val="single" w:color="CCCCCC" w:sz="1"/>
              <w:left w:val="single" w:color="CCCCCC" w:sz="1"/>
              <w:bottom w:val="single" w:color="CCCCCC" w:sz="1"/>
              <w:right w:val="single" w:color="CCCCCC" w:sz="1"/>
            </w:tcBorders>
            <w:shd w:fill="f7fafc" w:val="clear"/>
          </w:tcPr>
          <w:p>
            <w:r>
              <w:rPr>
                <w:b/>
                <w:bCs/>
                <w:sz w:val="20"/>
                <w:szCs w:val="20"/>
              </w:rPr>
              <w:t xml:space="preserve">Sensor Health</w:t>
            </w:r>
          </w:p>
        </w:tc>
        <w:tc>
          <w:tcPr>
            <w:tcBorders>
              <w:top w:val="single" w:color="CCCCCC" w:sz="1"/>
              <w:left w:val="single" w:color="CCCCCC" w:sz="1"/>
              <w:bottom w:val="single" w:color="CCCCCC" w:sz="1"/>
              <w:right w:val="single" w:color="CCCCCC" w:sz="1"/>
            </w:tcBorders>
          </w:tcPr>
          <w:p>
            <w:r>
              <w:rPr>
                <w:sz w:val="20"/>
                <w:szCs w:val="20"/>
              </w:rPr>
              <w:t xml:space="preserve">Fault Detection Accuracy</w:t>
            </w:r>
          </w:p>
        </w:tc>
        <w:tc>
          <w:tcPr>
            <w:tcBorders>
              <w:top w:val="single" w:color="CCCCCC" w:sz="1"/>
              <w:left w:val="single" w:color="CCCCCC" w:sz="1"/>
              <w:bottom w:val="single" w:color="CCCCCC" w:sz="1"/>
              <w:right w:val="single" w:color="CCCCCC" w:sz="1"/>
            </w:tcBorders>
          </w:tcPr>
          <w:p>
            <w:r>
              <w:rPr>
                <w:sz w:val="20"/>
                <w:szCs w:val="20"/>
              </w:rPr>
              <w:t xml:space="preserve">≥90% of stuck/faulty sensors identified</w:t>
            </w:r>
          </w:p>
        </w:tc>
      </w:tr>
      <w:tr>
        <w:tc>
          <w:tcPr>
            <w:vMerge w:val="continue"/>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r>
              <w:rPr>
                <w:sz w:val="20"/>
                <w:szCs w:val="20"/>
              </w:rPr>
              <w:t xml:space="preserve">Communication Gap Detection</w:t>
            </w:r>
          </w:p>
        </w:tc>
        <w:tc>
          <w:tcPr>
            <w:tcBorders>
              <w:top w:val="single" w:color="CCCCCC" w:sz="1"/>
              <w:left w:val="single" w:color="CCCCCC" w:sz="1"/>
              <w:bottom w:val="single" w:color="CCCCCC" w:sz="1"/>
              <w:right w:val="single" w:color="CCCCCC" w:sz="1"/>
            </w:tcBorders>
          </w:tcPr>
          <w:p>
            <w:r>
              <w:rPr>
                <w:sz w:val="20"/>
                <w:szCs w:val="20"/>
              </w:rPr>
              <w:t xml:space="preserve">100% of gaps &gt;3× interval flagged</w:t>
            </w:r>
          </w:p>
        </w:tc>
      </w:tr>
      <w:tr>
        <w:tc>
          <w:tcPr>
            <w:vMerge w:val="restart"/>
            <w:tcBorders>
              <w:top w:val="single" w:color="CCCCCC" w:sz="1"/>
              <w:left w:val="single" w:color="CCCCCC" w:sz="1"/>
              <w:bottom w:val="single" w:color="CCCCCC" w:sz="1"/>
              <w:right w:val="single" w:color="CCCCCC" w:sz="1"/>
            </w:tcBorders>
            <w:shd w:fill="f7fafc" w:val="clear"/>
          </w:tcPr>
          <w:p>
            <w:r>
              <w:rPr>
                <w:b/>
                <w:bCs/>
                <w:sz w:val="20"/>
                <w:szCs w:val="20"/>
              </w:rPr>
              <w:t xml:space="preserve">RAG Quality</w:t>
            </w:r>
          </w:p>
        </w:tc>
        <w:tc>
          <w:tcPr>
            <w:tcBorders>
              <w:top w:val="single" w:color="CCCCCC" w:sz="1"/>
              <w:left w:val="single" w:color="CCCCCC" w:sz="1"/>
              <w:bottom w:val="single" w:color="CCCCCC" w:sz="1"/>
              <w:right w:val="single" w:color="CCCCCC" w:sz="1"/>
            </w:tcBorders>
          </w:tcPr>
          <w:p>
            <w:r>
              <w:rPr>
                <w:sz w:val="20"/>
                <w:szCs w:val="20"/>
              </w:rPr>
              <w:t xml:space="preserve">Hazard Level Query Accuracy</w:t>
            </w:r>
          </w:p>
        </w:tc>
        <w:tc>
          <w:tcPr>
            <w:tcBorders>
              <w:top w:val="single" w:color="CCCCCC" w:sz="1"/>
              <w:left w:val="single" w:color="CCCCCC" w:sz="1"/>
              <w:bottom w:val="single" w:color="CCCCCC" w:sz="1"/>
              <w:right w:val="single" w:color="CCCCCC" w:sz="1"/>
            </w:tcBorders>
          </w:tcPr>
          <w:p>
            <w:r>
              <w:rPr>
                <w:sz w:val="20"/>
                <w:szCs w:val="20"/>
              </w:rPr>
              <w:t xml:space="preserve">Top-3 results match query intent ≥80%</w:t>
            </w:r>
          </w:p>
        </w:tc>
      </w:tr>
      <w:tr>
        <w:tc>
          <w:tcPr>
            <w:vMerge w:val="continue"/>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r>
              <w:rPr>
                <w:sz w:val="20"/>
                <w:szCs w:val="20"/>
              </w:rPr>
              <w:t xml:space="preserve">Historical Pattern Match</w:t>
            </w:r>
          </w:p>
        </w:tc>
        <w:tc>
          <w:tcPr>
            <w:tcBorders>
              <w:top w:val="single" w:color="CCCCCC" w:sz="1"/>
              <w:left w:val="single" w:color="CCCCCC" w:sz="1"/>
              <w:bottom w:val="single" w:color="CCCCCC" w:sz="1"/>
              <w:right w:val="single" w:color="CCCCCC" w:sz="1"/>
            </w:tcBorders>
          </w:tcPr>
          <w:p>
            <w:r>
              <w:rPr>
                <w:sz w:val="20"/>
                <w:szCs w:val="20"/>
              </w:rPr>
              <w:t xml:space="preserve">Relevant event retrieved ≥70% of high-risk cases</w:t>
            </w:r>
          </w:p>
        </w:tc>
      </w:tr>
      <w:tr>
        <w:tc>
          <w:tcPr>
            <w:vMerge w:val="restart"/>
            <w:tcBorders>
              <w:top w:val="single" w:color="CCCCCC" w:sz="1"/>
              <w:left w:val="single" w:color="CCCCCC" w:sz="1"/>
              <w:bottom w:val="single" w:color="CCCCCC" w:sz="1"/>
              <w:right w:val="single" w:color="CCCCCC" w:sz="1"/>
            </w:tcBorders>
            <w:shd w:fill="f7fafc" w:val="clear"/>
          </w:tcPr>
          <w:p>
            <w:r>
              <w:rPr>
                <w:b/>
                <w:bCs/>
                <w:sz w:val="20"/>
                <w:szCs w:val="20"/>
              </w:rPr>
              <w:t xml:space="preserve">System Performance</w:t>
            </w:r>
          </w:p>
        </w:tc>
        <w:tc>
          <w:tcPr>
            <w:tcBorders>
              <w:top w:val="single" w:color="CCCCCC" w:sz="1"/>
              <w:left w:val="single" w:color="CCCCCC" w:sz="1"/>
              <w:bottom w:val="single" w:color="CCCCCC" w:sz="1"/>
              <w:right w:val="single" w:color="CCCCCC" w:sz="1"/>
            </w:tcBorders>
          </w:tcPr>
          <w:p>
            <w:r>
              <w:rPr>
                <w:sz w:val="20"/>
                <w:szCs w:val="20"/>
              </w:rPr>
              <w:t xml:space="preserve">Detection Cycle Time</w:t>
            </w:r>
          </w:p>
        </w:tc>
        <w:tc>
          <w:tcPr>
            <w:tcBorders>
              <w:top w:val="single" w:color="CCCCCC" w:sz="1"/>
              <w:left w:val="single" w:color="CCCCCC" w:sz="1"/>
              <w:bottom w:val="single" w:color="CCCCCC" w:sz="1"/>
              <w:right w:val="single" w:color="CCCCCC" w:sz="1"/>
            </w:tcBorders>
          </w:tcPr>
          <w:p>
            <w:r>
              <w:rPr>
                <w:sz w:val="20"/>
                <w:szCs w:val="20"/>
              </w:rPr>
              <w:t xml:space="preserve">≤60 seconds end-to-end</w:t>
            </w:r>
          </w:p>
        </w:tc>
      </w:tr>
      <w:tr>
        <w:tc>
          <w:tcPr>
            <w:vMerge w:val="continue"/>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r>
              <w:rPr>
                <w:sz w:val="20"/>
                <w:szCs w:val="20"/>
              </w:rPr>
              <w:t xml:space="preserve">Test Coverage</w:t>
            </w:r>
          </w:p>
        </w:tc>
        <w:tc>
          <w:tcPr>
            <w:tcBorders>
              <w:top w:val="single" w:color="CCCCCC" w:sz="1"/>
              <w:left w:val="single" w:color="CCCCCC" w:sz="1"/>
              <w:bottom w:val="single" w:color="CCCCCC" w:sz="1"/>
              <w:right w:val="single" w:color="CCCCCC" w:sz="1"/>
            </w:tcBorders>
          </w:tcPr>
          <w:p>
            <w:r>
              <w:rPr>
                <w:sz w:val="20"/>
                <w:szCs w:val="20"/>
              </w:rPr>
              <w:t xml:space="preserve">≥80% for core modules</w:t>
            </w:r>
          </w:p>
        </w:tc>
      </w:tr>
    </w:tbl>
    <w:p>
      <w:r>
        <w:br w:type="page"/>
      </w:r>
    </w:p>
    <w:p>
      <w:pPr>
        <w:pStyle w:val="Heading1"/>
      </w:pPr>
      <w:r>
        <w:t xml:space="preserve">Phase 1 – Critical Enhancements (2–3 weeks)</w:t>
      </w:r>
    </w:p>
    <w:p>
      <w:pPr>
        <w:spacing w:after="200"/>
      </w:pPr>
      <w:r>
        <w:t xml:space="preserve">These tasks address the most pressing gaps highlighted in the review. They require modest effort but provide large improvements in reliability. Phase 1 items should be completed before any NBRO demonstration.</w:t>
      </w:r>
    </w:p>
    <w:p>
      <w:pPr>
        <w:pStyle w:val="Heading2"/>
      </w:pPr>
      <w:r>
        <w:t xml:space="preserve">1.1 Time-Series Trend Calculation</w:t>
      </w:r>
    </w:p>
    <w:p>
      <w:pPr>
        <w:pStyle w:val="Heading3"/>
      </w:pPr>
      <w:r>
        <w:t xml:space="preserve">Current State</w:t>
      </w:r>
    </w:p>
    <w:p>
      <w:pPr>
        <w:spacing w:after="100"/>
      </w:pPr>
      <w:r>
        <w:t xml:space="preserve">The TelemetryFetcher retrieves a 24-hour lookback window, but RiskScorer only uses the most recent reading. Trending variables (moisture_trend, tilt_acceleration) in the LLM prompt are placeholders without computed values.</w:t>
      </w:r>
    </w:p>
    <w:p>
      <w:pPr>
        <w:pStyle w:val="Heading3"/>
      </w:pPr>
      <w:r>
        <w:t xml:space="preserve">Implementation</w:t>
      </w:r>
    </w:p>
    <w:p>
      <w:pPr>
        <w:pStyle w:val="ListParagraph"/>
        <w:numPr>
          <w:ilvl w:val="0"/>
          <w:numId w:val="3"/>
        </w:numPr>
      </w:pPr>
      <w:r>
        <w:rPr>
          <w:b/>
          <w:bCs/>
        </w:rPr>
        <w:t xml:space="preserve">Implement TrendAnalyzer class: </w:t>
      </w:r>
      <w:r>
        <w:t xml:space="preserve">Extend the detection pipeline with a module that calculates linear trend slopes for moisture, tilt, and pore pressure over multiple windows (1h, 6h, 24h).</w:t>
      </w:r>
    </w:p>
    <w:p>
      <w:pPr>
        <w:pStyle w:val="ListParagraph"/>
        <w:numPr>
          <w:ilvl w:val="0"/>
          <w:numId w:val="3"/>
        </w:numPr>
      </w:pPr>
      <w:r>
        <w:rPr>
          <w:b/>
          <w:bCs/>
        </w:rPr>
        <w:t xml:space="preserve">Compute tilt acceleration: </w:t>
      </w:r>
      <w:r>
        <w:t xml:space="preserve">Calculate second-derivative of tilt displacement to detect creep acceleration (transition from steady to tertiary creep).</w:t>
      </w:r>
    </w:p>
    <w:p>
      <w:pPr>
        <w:pStyle w:val="ListParagraph"/>
        <w:numPr>
          <w:ilvl w:val="0"/>
          <w:numId w:val="3"/>
        </w:numPr>
      </w:pPr>
      <w:r>
        <w:rPr>
          <w:b/>
          <w:bCs/>
        </w:rPr>
        <w:t xml:space="preserve">Update risk weights: </w:t>
      </w:r>
      <w:r>
        <w:t xml:space="preserve">Introduce small weights for trend features in the composite risk formula (suggest: moisture_trend 5%, tilt_acceleration 5%, reducing moisture and tilt_velocity weights accordingly).</w:t>
      </w:r>
    </w:p>
    <w:p>
      <w:pPr>
        <w:pStyle w:val="ListParagraph"/>
        <w:numPr>
          <w:ilvl w:val="0"/>
          <w:numId w:val="3"/>
        </w:numPr>
      </w:pPr>
      <w:r>
        <w:rPr>
          <w:b/>
          <w:bCs/>
        </w:rPr>
        <w:t xml:space="preserve">Integration point: </w:t>
      </w:r>
      <w:r>
        <w:t xml:space="preserve">Call TrendAnalyzer after TelemetryFetcher, before RiskScorer. Pass trend features to both RiskScorer and LLM prompt.</w:t>
      </w:r>
    </w:p>
    <w:p>
      <w:pPr>
        <w:pStyle w:val="Heading3"/>
      </w:pPr>
      <w:r>
        <w:t xml:space="preserve">Code Sketch</w:t>
      </w:r>
    </w:p>
    <w:p>
      <w:pPr>
        <w:shd w:fill="f7fafc" w:val="clear"/>
        <w:spacing w:after="50"/>
      </w:pPr>
      <w:r>
        <w:rPr>
          <w:rFonts w:ascii="Courier New" w:cs="Courier New" w:eastAsia="Courier New" w:hAnsi="Courier New"/>
          <w:sz w:val="18"/>
          <w:szCs w:val="18"/>
        </w:rPr>
        <w:t xml:space="preserve">class TrendAnalyzer:</w:t>
      </w:r>
    </w:p>
    <w:p>
      <w:pPr>
        <w:shd w:fill="f7fafc" w:val="clear"/>
      </w:pPr>
      <w:r>
        <w:rPr>
          <w:rFonts w:ascii="Courier New" w:cs="Courier New" w:eastAsia="Courier New" w:hAnsi="Courier New"/>
          <w:sz w:val="18"/>
          <w:szCs w:val="18"/>
        </w:rPr>
        <w:t xml:space="preserve">    WINDOWS = {'short': 1, 'medium': 6, 'long': 24}  # hours</w:t>
      </w:r>
    </w:p>
    <w:p>
      <w:pPr>
        <w:shd w:fill="f7fafc" w:val="clear"/>
      </w:pPr>
      <w:r>
        <w:rPr>
          <w:rFonts w:ascii="Courier New" w:cs="Courier New" w:eastAsia="Courier New" w:hAnsi="Courier New"/>
          <w:sz w:val="18"/>
          <w:szCs w:val="18"/>
        </w:rPr>
        <w:t xml:space="preserve">    </w:t>
      </w:r>
    </w:p>
    <w:p>
      <w:pPr>
        <w:shd w:fill="f7fafc" w:val="clear"/>
      </w:pPr>
      <w:r>
        <w:rPr>
          <w:rFonts w:ascii="Courier New" w:cs="Courier New" w:eastAsia="Courier New" w:hAnsi="Courier New"/>
          <w:sz w:val="18"/>
          <w:szCs w:val="18"/>
        </w:rPr>
        <w:t xml:space="preserve">    def calculate_trend(self, readings, metric, window_hours):</w:t>
      </w:r>
    </w:p>
    <w:p>
      <w:pPr>
        <w:shd w:fill="f7fafc" w:val="clear"/>
      </w:pPr>
      <w:r>
        <w:rPr>
          <w:rFonts w:ascii="Courier New" w:cs="Courier New" w:eastAsia="Courier New" w:hAnsi="Courier New"/>
          <w:sz w:val="18"/>
          <w:szCs w:val="18"/>
        </w:rPr>
        <w:t xml:space="preserve">        # Linear regression: returns slope (%/hour or mm/hr²)</w:t>
      </w:r>
    </w:p>
    <w:p>
      <w:pPr>
        <w:shd w:fill="f7fafc" w:val="clear"/>
      </w:pPr>
      <w:r>
        <w:rPr>
          <w:rFonts w:ascii="Courier New" w:cs="Courier New" w:eastAsia="Courier New" w:hAnsi="Courier New"/>
          <w:sz w:val="18"/>
          <w:szCs w:val="18"/>
        </w:rPr>
        <w:t xml:space="preserve">        # Also returns r_squared for confidence</w:t>
      </w:r>
    </w:p>
    <w:p>
      <w:pPr>
        <w:shd w:fill="f7fafc" w:val="clear"/>
      </w:pPr>
      <w:r>
        <w:rPr>
          <w:rFonts w:ascii="Courier New" w:cs="Courier New" w:eastAsia="Courier New" w:hAnsi="Courier New"/>
          <w:sz w:val="18"/>
          <w:szCs w:val="18"/>
        </w:rPr>
        <w:t xml:space="preserve">        return {'slope': slope, 'r_squared': r2, 'window': window_hours}</w:t>
      </w:r>
    </w:p>
    <w:p>
      <w:pPr>
        <w:shd w:fill="f7fafc" w:val="clear"/>
        <w:spacing w:after="200"/>
      </w:pPr>
      <w:r>
        <w:rPr>
          <w:rFonts w:ascii="Courier New" w:cs="Courier New" w:eastAsia="Courier New" w:hAnsi="Courier New"/>
          <w:sz w:val="18"/>
          <w:szCs w:val="18"/>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Pr>
          <w:p>
            <w:pPr>
              <w:spacing w:before="100" w:after="50"/>
            </w:pPr>
            <w:r>
              <w:rPr>
                <w:b/>
                <w:bCs/>
                <w:color w:val="276749"/>
              </w:rPr>
              <w:t xml:space="preserve">📦 Deliverables:</w:t>
            </w:r>
          </w:p>
          <w:p>
            <w:pPr>
              <w:spacing w:after="50"/>
            </w:pPr>
            <w:r>
              <w:rPr>
                <w:sz w:val="20"/>
                <w:szCs w:val="20"/>
              </w:rPr>
              <w:t xml:space="preserve">• core/trend_analyzer.py – TrendAnalyzer class with linear regression</w:t>
            </w:r>
          </w:p>
          <w:p>
            <w:pPr>
              <w:spacing w:after="50"/>
            </w:pPr>
            <w:r>
              <w:rPr>
                <w:sz w:val="20"/>
                <w:szCs w:val="20"/>
              </w:rPr>
              <w:t xml:space="preserve">• tests/unit/test_trend_analyzer.py – Unit tests for trend calculations</w:t>
            </w:r>
          </w:p>
          <w:p>
            <w:pPr>
              <w:spacing w:after="50"/>
            </w:pPr>
            <w:r>
              <w:rPr>
                <w:sz w:val="20"/>
                <w:szCs w:val="20"/>
              </w:rPr>
              <w:t xml:space="preserve">• Integration into detector_lambda.py pipeline</w:t>
            </w:r>
          </w:p>
          <w:p>
            <w:pPr>
              <w:spacing w:after="50"/>
            </w:pPr>
            <w:r>
              <w:rPr>
                <w:sz w:val="20"/>
                <w:szCs w:val="20"/>
              </w:rPr>
              <w:t xml:space="preserve">• Updated LLM prompt with real trend values</w:t>
            </w:r>
          </w:p>
        </w:tc>
      </w:tr>
    </w:tbl>
    <w:p>
      <w:pPr>
        <w:pStyle w:val="Heading2"/>
      </w:pPr>
      <w:r>
        <w:t xml:space="preserve">1.2 Sensor Health and Network Monitoring</w:t>
      </w:r>
    </w:p>
    <w:p>
      <w:pPr>
        <w:pStyle w:val="Heading3"/>
      </w:pPr>
      <w:r>
        <w:t xml:space="preserve">Current State</w:t>
      </w:r>
    </w:p>
    <w:p>
      <w:pPr>
        <w:spacing w:after="100"/>
      </w:pPr>
      <w:r>
        <w:t xml:space="preserve">No detection of stuck sensors, communication failures, or implausible readings. Negative pore pressure is treated as stabilising without validation. Faulty sensors contribute to spatial correlation calculations, potentially causing false positives or negatives.</w:t>
      </w:r>
    </w:p>
    <w:p>
      <w:pPr>
        <w:pStyle w:val="Heading3"/>
      </w:pPr>
      <w:r>
        <w:t xml:space="preserve">Implementation</w:t>
      </w:r>
    </w:p>
    <w:p>
      <w:pPr>
        <w:pStyle w:val="ListParagraph"/>
        <w:numPr>
          <w:ilvl w:val="0"/>
          <w:numId w:val="3"/>
        </w:numPr>
      </w:pPr>
      <w:r>
        <w:rPr>
          <w:b/>
          <w:bCs/>
        </w:rPr>
        <w:t xml:space="preserve">Add SensorHealthChecker class </w:t>
      </w:r>
      <w:r>
        <w:t xml:space="preserve">with the following health checks:</w:t>
      </w:r>
    </w:p>
    <w:p>
      <w:pPr>
        <w:pStyle w:val="ListParagraph"/>
        <w:numPr>
          <w:ilvl w:val="0"/>
          <w:numId w:val="4"/>
        </w:numPr>
      </w:pPr>
      <w:r>
        <w:rPr>
          <w:b/>
          <w:bCs/>
        </w:rPr>
        <w:t xml:space="preserve">Stuck sensor: </w:t>
      </w:r>
      <w:r>
        <w:t xml:space="preserve">Variance below threshold over N consecutive readings</w:t>
      </w:r>
    </w:p>
    <w:p>
      <w:pPr>
        <w:pStyle w:val="ListParagraph"/>
        <w:numPr>
          <w:ilvl w:val="0"/>
          <w:numId w:val="4"/>
        </w:numPr>
      </w:pPr>
      <w:r>
        <w:rPr>
          <w:b/>
          <w:bCs/>
        </w:rPr>
        <w:t xml:space="preserve">Communication gap: </w:t>
      </w:r>
      <w:r>
        <w:t xml:space="preserve">No data received for &gt; 3× expected reporting interval</w:t>
      </w:r>
    </w:p>
    <w:p>
      <w:pPr>
        <w:pStyle w:val="ListParagraph"/>
        <w:numPr>
          <w:ilvl w:val="0"/>
          <w:numId w:val="4"/>
        </w:numPr>
      </w:pPr>
      <w:r>
        <w:rPr>
          <w:b/>
          <w:bCs/>
        </w:rPr>
        <w:t xml:space="preserve">Range violation: </w:t>
      </w:r>
      <w:r>
        <w:t xml:space="preserve">Values outside physical bounds (moisture &lt;0% or &gt;100%, negative vibration)</w:t>
      </w:r>
    </w:p>
    <w:p>
      <w:pPr>
        <w:pStyle w:val="ListParagraph"/>
        <w:numPr>
          <w:ilvl w:val="0"/>
          <w:numId w:val="4"/>
        </w:numPr>
      </w:pPr>
      <w:r>
        <w:rPr>
          <w:b/>
          <w:bCs/>
        </w:rPr>
        <w:t xml:space="preserve">Spike detection: </w:t>
      </w:r>
      <w:r>
        <w:t xml:space="preserve">Sudden jumps &gt;3σ from rolling mean</w:t>
      </w:r>
    </w:p>
    <w:p>
      <w:pPr>
        <w:pStyle w:val="ListParagraph"/>
        <w:numPr>
          <w:ilvl w:val="0"/>
          <w:numId w:val="3"/>
        </w:numPr>
      </w:pPr>
      <w:r>
        <w:rPr>
          <w:b/>
          <w:bCs/>
        </w:rPr>
        <w:t xml:space="preserve">Heartbeat monitoring: </w:t>
      </w:r>
      <w:r>
        <w:t xml:space="preserve">Periodically verify each sensor reports within expected interval; alert operators to communication failures.</w:t>
      </w:r>
    </w:p>
    <w:p>
      <w:pPr>
        <w:pStyle w:val="ListParagraph"/>
        <w:numPr>
          <w:ilvl w:val="0"/>
          <w:numId w:val="3"/>
        </w:numPr>
      </w:pPr>
      <w:r>
        <w:rPr>
          <w:b/>
          <w:bCs/>
        </w:rPr>
        <w:t xml:space="preserve">Health status field: </w:t>
      </w:r>
      <w:r>
        <w:t xml:space="preserve">Add sensor_health to telemetry records: HEALTHY, DEGRADED, or FAULTY.</w:t>
      </w:r>
    </w:p>
    <w:p>
      <w:pPr>
        <w:pStyle w:val="ListParagraph"/>
        <w:numPr>
          <w:ilvl w:val="0"/>
          <w:numId w:val="3"/>
        </w:numPr>
      </w:pPr>
      <w:r>
        <w:rPr>
          <w:b/>
          <w:bCs/>
        </w:rPr>
        <w:t xml:space="preserve">Integration: </w:t>
      </w:r>
      <w:r>
        <w:t xml:space="preserve">Exclude FAULTY sensors from spatial correlation; apply reduced weight (0.5×) to DEGRADED sensors.</w:t>
      </w:r>
    </w:p>
    <w:p>
      <w:pPr>
        <w:spacing w:before="15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Pr>
          <w:p>
            <w:pPr>
              <w:spacing w:before="100" w:after="50"/>
            </w:pPr>
            <w:r>
              <w:rPr>
                <w:b/>
                <w:bCs/>
                <w:color w:val="276749"/>
              </w:rPr>
              <w:t xml:space="preserve">📦 Deliverables:</w:t>
            </w:r>
          </w:p>
          <w:p>
            <w:pPr>
              <w:spacing w:after="50"/>
            </w:pPr>
            <w:r>
              <w:rPr>
                <w:sz w:val="20"/>
                <w:szCs w:val="20"/>
              </w:rPr>
              <w:t xml:space="preserve">• core/sensor_health.py – SensorHealthChecker class</w:t>
            </w:r>
          </w:p>
          <w:p>
            <w:pPr>
              <w:spacing w:after="50"/>
            </w:pPr>
            <w:r>
              <w:rPr>
                <w:sz w:val="20"/>
                <w:szCs w:val="20"/>
              </w:rPr>
              <w:t xml:space="preserve">• tests/unit/test_sensor_health.py – Unit tests for health checks</w:t>
            </w:r>
          </w:p>
          <w:p>
            <w:pPr>
              <w:spacing w:after="50"/>
            </w:pPr>
            <w:r>
              <w:rPr>
                <w:sz w:val="20"/>
                <w:szCs w:val="20"/>
              </w:rPr>
              <w:t xml:space="preserve">• Integration into telemetry ingestion and risk scoring</w:t>
            </w:r>
          </w:p>
          <w:p>
            <w:pPr>
              <w:spacing w:after="50"/>
            </w:pPr>
            <w:r>
              <w:rPr>
                <w:sz w:val="20"/>
                <w:szCs w:val="20"/>
              </w:rPr>
              <w:t xml:space="preserve">• CloudWatch alarm for sensor communication failures</w:t>
            </w:r>
          </w:p>
        </w:tc>
      </w:tr>
    </w:tbl>
    <w:p>
      <w:pPr>
        <w:pStyle w:val="Heading2"/>
      </w:pPr>
      <w:r>
        <w:t xml:space="preserve">1.3 Cross-Modal Consistency and Dynamic Weighting</w:t>
      </w:r>
    </w:p>
    <w:p>
      <w:pPr>
        <w:pStyle w:val="Heading3"/>
      </w:pPr>
      <w:r>
        <w:t xml:space="preserve">Rationale</w:t>
      </w:r>
    </w:p>
    <w:p>
      <w:pPr>
        <w:spacing w:after="100"/>
      </w:pPr>
      <w:r>
        <w:t xml:space="preserve">Physical processes create predictable sensor correlations. High moisture without tilt may indicate infiltration (pre-failure phase). High tilt without moisture may indicate mechanical disturbance rather than landslide. Validating cross-modal consistency reduces false positives from isolated sensor anomalies.</w:t>
      </w:r>
    </w:p>
    <w:p>
      <w:pPr>
        <w:pStyle w:val="Heading3"/>
      </w:pPr>
      <w:r>
        <w:t xml:space="preserve">Cross-Modal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2c5282" w:val="clear"/>
          </w:tcPr>
          <w:p>
            <w:pPr>
              <w:jc w:val="center"/>
            </w:pPr>
            <w:r>
              <w:rPr>
                <w:b/>
                <w:bCs/>
                <w:color w:val="FFFFFF"/>
                <w:sz w:val="20"/>
                <w:szCs w:val="20"/>
              </w:rPr>
              <w:t xml:space="preserve">Condition</w:t>
            </w:r>
          </w:p>
        </w:tc>
        <w:tc>
          <w:tcPr>
            <w:tcW w:type="dxa" w:w="2200"/>
            <w:tcBorders>
              <w:top w:val="single" w:color="CCCCCC" w:sz="1"/>
              <w:left w:val="single" w:color="CCCCCC" w:sz="1"/>
              <w:bottom w:val="single" w:color="CCCCCC" w:sz="1"/>
              <w:right w:val="single" w:color="CCCCCC" w:sz="1"/>
            </w:tcBorders>
            <w:shd w:fill="2c5282" w:val="clear"/>
          </w:tcPr>
          <w:p>
            <w:pPr>
              <w:jc w:val="center"/>
            </w:pPr>
            <w:r>
              <w:rPr>
                <w:b/>
                <w:bCs/>
                <w:color w:val="FFFFFF"/>
                <w:sz w:val="20"/>
                <w:szCs w:val="20"/>
              </w:rPr>
              <w:t xml:space="preserve">Interpretation</w:t>
            </w:r>
          </w:p>
        </w:tc>
        <w:tc>
          <w:tcPr>
            <w:tcW w:type="dxa" w:w="3960"/>
            <w:tcBorders>
              <w:top w:val="single" w:color="CCCCCC" w:sz="1"/>
              <w:left w:val="single" w:color="CCCCCC" w:sz="1"/>
              <w:bottom w:val="single" w:color="CCCCCC" w:sz="1"/>
              <w:right w:val="single" w:color="CCCCCC" w:sz="1"/>
            </w:tcBorders>
            <w:shd w:fill="2c5282" w:val="clear"/>
          </w:tcPr>
          <w:p>
            <w:pPr>
              <w:jc w:val="center"/>
            </w:pPr>
            <w:r>
              <w:rPr>
                <w:b/>
                <w:bCs/>
                <w:color w:val="FFFFFF"/>
                <w:sz w:val="20"/>
                <w:szCs w:val="20"/>
              </w:rPr>
              <w:t xml:space="preserve">Action</w:t>
            </w:r>
          </w:p>
        </w:tc>
      </w:tr>
      <w:tr>
        <w:tc>
          <w:tcPr>
            <w:tcBorders>
              <w:top w:val="single" w:color="CCCCCC" w:sz="1"/>
              <w:left w:val="single" w:color="CCCCCC" w:sz="1"/>
              <w:bottom w:val="single" w:color="CCCCCC" w:sz="1"/>
              <w:right w:val="single" w:color="CCCCCC" w:sz="1"/>
            </w:tcBorders>
          </w:tcPr>
          <w:p>
            <w:r>
              <w:rPr>
                <w:sz w:val="20"/>
                <w:szCs w:val="20"/>
              </w:rPr>
              <w:t xml:space="preserve">High moisture + No tilt</w:t>
            </w:r>
          </w:p>
        </w:tc>
        <w:tc>
          <w:tcPr>
            <w:tcBorders>
              <w:top w:val="single" w:color="CCCCCC" w:sz="1"/>
              <w:left w:val="single" w:color="CCCCCC" w:sz="1"/>
              <w:bottom w:val="single" w:color="CCCCCC" w:sz="1"/>
              <w:right w:val="single" w:color="CCCCCC" w:sz="1"/>
            </w:tcBorders>
          </w:tcPr>
          <w:p>
            <w:r>
              <w:rPr>
                <w:sz w:val="20"/>
                <w:szCs w:val="20"/>
              </w:rPr>
              <w:t xml:space="preserve">Infiltration phase</w:t>
            </w:r>
          </w:p>
        </w:tc>
        <w:tc>
          <w:tcPr>
            <w:tcBorders>
              <w:top w:val="single" w:color="CCCCCC" w:sz="1"/>
              <w:left w:val="single" w:color="CCCCCC" w:sz="1"/>
              <w:bottom w:val="single" w:color="CCCCCC" w:sz="1"/>
              <w:right w:val="single" w:color="CCCCCC" w:sz="1"/>
            </w:tcBorders>
          </w:tcPr>
          <w:p>
            <w:r>
              <w:rPr>
                <w:sz w:val="20"/>
                <w:szCs w:val="20"/>
              </w:rPr>
              <w:t xml:space="preserve">Monitor closely; pre-failure indicator</w:t>
            </w:r>
          </w:p>
        </w:tc>
      </w:tr>
      <w:tr>
        <w:tc>
          <w:tcPr>
            <w:tcBorders>
              <w:top w:val="single" w:color="CCCCCC" w:sz="1"/>
              <w:left w:val="single" w:color="CCCCCC" w:sz="1"/>
              <w:bottom w:val="single" w:color="CCCCCC" w:sz="1"/>
              <w:right w:val="single" w:color="CCCCCC" w:sz="1"/>
            </w:tcBorders>
          </w:tcPr>
          <w:p>
            <w:r>
              <w:rPr>
                <w:sz w:val="20"/>
                <w:szCs w:val="20"/>
              </w:rPr>
              <w:t xml:space="preserve">High tilt + Low moisture</w:t>
            </w:r>
          </w:p>
        </w:tc>
        <w:tc>
          <w:tcPr>
            <w:tcBorders>
              <w:top w:val="single" w:color="CCCCCC" w:sz="1"/>
              <w:left w:val="single" w:color="CCCCCC" w:sz="1"/>
              <w:bottom w:val="single" w:color="CCCCCC" w:sz="1"/>
              <w:right w:val="single" w:color="CCCCCC" w:sz="1"/>
            </w:tcBorders>
          </w:tcPr>
          <w:p>
            <w:r>
              <w:rPr>
                <w:sz w:val="20"/>
                <w:szCs w:val="20"/>
              </w:rPr>
              <w:t xml:space="preserve">Mechanical disturbance</w:t>
            </w:r>
          </w:p>
        </w:tc>
        <w:tc>
          <w:tcPr>
            <w:tcBorders>
              <w:top w:val="single" w:color="CCCCCC" w:sz="1"/>
              <w:left w:val="single" w:color="CCCCCC" w:sz="1"/>
              <w:bottom w:val="single" w:color="CCCCCC" w:sz="1"/>
              <w:right w:val="single" w:color="CCCCCC" w:sz="1"/>
            </w:tcBorders>
          </w:tcPr>
          <w:p>
            <w:r>
              <w:rPr>
                <w:sz w:val="20"/>
                <w:szCs w:val="20"/>
              </w:rPr>
              <w:t xml:space="preserve">Reduce risk score 0.7×; possible sensor issue</w:t>
            </w:r>
          </w:p>
        </w:tc>
      </w:tr>
      <w:tr>
        <w:tc>
          <w:tcPr>
            <w:tcBorders>
              <w:top w:val="single" w:color="CCCCCC" w:sz="1"/>
              <w:left w:val="single" w:color="CCCCCC" w:sz="1"/>
              <w:bottom w:val="single" w:color="CCCCCC" w:sz="1"/>
              <w:right w:val="single" w:color="CCCCCC" w:sz="1"/>
            </w:tcBorders>
          </w:tcPr>
          <w:p>
            <w:r>
              <w:rPr>
                <w:sz w:val="20"/>
                <w:szCs w:val="20"/>
              </w:rPr>
              <w:t xml:space="preserve">High vibration + No tilt/moisture</w:t>
            </w:r>
          </w:p>
        </w:tc>
        <w:tc>
          <w:tcPr>
            <w:tcBorders>
              <w:top w:val="single" w:color="CCCCCC" w:sz="1"/>
              <w:left w:val="single" w:color="CCCCCC" w:sz="1"/>
              <w:bottom w:val="single" w:color="CCCCCC" w:sz="1"/>
              <w:right w:val="single" w:color="CCCCCC" w:sz="1"/>
            </w:tcBorders>
          </w:tcPr>
          <w:p>
            <w:r>
              <w:rPr>
                <w:sz w:val="20"/>
                <w:szCs w:val="20"/>
              </w:rPr>
              <w:t xml:space="preserve">External noise</w:t>
            </w:r>
          </w:p>
        </w:tc>
        <w:tc>
          <w:tcPr>
            <w:tcBorders>
              <w:top w:val="single" w:color="CCCCCC" w:sz="1"/>
              <w:left w:val="single" w:color="CCCCCC" w:sz="1"/>
              <w:bottom w:val="single" w:color="CCCCCC" w:sz="1"/>
              <w:right w:val="single" w:color="CCCCCC" w:sz="1"/>
            </w:tcBorders>
          </w:tcPr>
          <w:p>
            <w:r>
              <w:rPr>
                <w:sz w:val="20"/>
                <w:szCs w:val="20"/>
              </w:rPr>
              <w:t xml:space="preserve">Suppress alert; flag for review</w:t>
            </w:r>
          </w:p>
        </w:tc>
      </w:tr>
      <w:tr>
        <w:tc>
          <w:tcPr>
            <w:tcBorders>
              <w:top w:val="single" w:color="CCCCCC" w:sz="1"/>
              <w:left w:val="single" w:color="CCCCCC" w:sz="1"/>
              <w:bottom w:val="single" w:color="CCCCCC" w:sz="1"/>
              <w:right w:val="single" w:color="CCCCCC" w:sz="1"/>
            </w:tcBorders>
          </w:tcPr>
          <w:p>
            <w:r>
              <w:rPr>
                <w:sz w:val="20"/>
                <w:szCs w:val="20"/>
              </w:rPr>
              <w:t xml:space="preserve">High moisture + tilt + vibration</w:t>
            </w:r>
          </w:p>
        </w:tc>
        <w:tc>
          <w:tcPr>
            <w:tcBorders>
              <w:top w:val="single" w:color="CCCCCC" w:sz="1"/>
              <w:left w:val="single" w:color="CCCCCC" w:sz="1"/>
              <w:bottom w:val="single" w:color="CCCCCC" w:sz="1"/>
              <w:right w:val="single" w:color="CCCCCC" w:sz="1"/>
            </w:tcBorders>
          </w:tcPr>
          <w:p>
            <w:r>
              <w:rPr>
                <w:sz w:val="20"/>
                <w:szCs w:val="20"/>
              </w:rPr>
              <w:t xml:space="preserve">Active failure</w:t>
            </w:r>
          </w:p>
        </w:tc>
        <w:tc>
          <w:tcPr>
            <w:tcBorders>
              <w:top w:val="single" w:color="CCCCCC" w:sz="1"/>
              <w:left w:val="single" w:color="CCCCCC" w:sz="1"/>
              <w:bottom w:val="single" w:color="CCCCCC" w:sz="1"/>
              <w:right w:val="single" w:color="CCCCCC" w:sz="1"/>
            </w:tcBorders>
          </w:tcPr>
          <w:p>
            <w:r>
              <w:rPr>
                <w:sz w:val="20"/>
                <w:szCs w:val="20"/>
              </w:rPr>
              <w:t xml:space="preserve">Maximum alert; boost risk 1.3×; escalate</w:t>
            </w:r>
          </w:p>
        </w:tc>
      </w:tr>
      <w:tr>
        <w:tc>
          <w:tcPr>
            <w:tcBorders>
              <w:top w:val="single" w:color="CCCCCC" w:sz="1"/>
              <w:left w:val="single" w:color="CCCCCC" w:sz="1"/>
              <w:bottom w:val="single" w:color="CCCCCC" w:sz="1"/>
              <w:right w:val="single" w:color="CCCCCC" w:sz="1"/>
            </w:tcBorders>
          </w:tcPr>
          <w:p>
            <w:r>
              <w:rPr>
                <w:sz w:val="20"/>
                <w:szCs w:val="20"/>
              </w:rPr>
              <w:t xml:space="preserve">Rising pore pressure + tilt increasing</w:t>
            </w:r>
          </w:p>
        </w:tc>
        <w:tc>
          <w:tcPr>
            <w:tcBorders>
              <w:top w:val="single" w:color="CCCCCC" w:sz="1"/>
              <w:left w:val="single" w:color="CCCCCC" w:sz="1"/>
              <w:bottom w:val="single" w:color="CCCCCC" w:sz="1"/>
              <w:right w:val="single" w:color="CCCCCC" w:sz="1"/>
            </w:tcBorders>
          </w:tcPr>
          <w:p>
            <w:r>
              <w:rPr>
                <w:sz w:val="20"/>
                <w:szCs w:val="20"/>
              </w:rPr>
              <w:t xml:space="preserve">Piping/internal erosion</w:t>
            </w:r>
          </w:p>
        </w:tc>
        <w:tc>
          <w:tcPr>
            <w:tcBorders>
              <w:top w:val="single" w:color="CCCCCC" w:sz="1"/>
              <w:left w:val="single" w:color="CCCCCC" w:sz="1"/>
              <w:bottom w:val="single" w:color="CCCCCC" w:sz="1"/>
              <w:right w:val="single" w:color="CCCCCC" w:sz="1"/>
            </w:tcBorders>
          </w:tcPr>
          <w:p>
            <w:r>
              <w:rPr>
                <w:sz w:val="20"/>
                <w:szCs w:val="20"/>
              </w:rPr>
              <w:t xml:space="preserve">High confidence landslide precursor</w:t>
            </w:r>
          </w:p>
        </w:tc>
      </w:tr>
    </w:tbl>
    <w:p>
      <w:pPr>
        <w:pStyle w:val="Heading3"/>
        <w:spacing w:before="200"/>
      </w:pPr>
      <w:r>
        <w:t xml:space="preserve">Dynamic Weighting</w:t>
      </w:r>
    </w:p>
    <w:p>
      <w:pPr>
        <w:pStyle w:val="ListParagraph"/>
        <w:numPr>
          <w:ilvl w:val="0"/>
          <w:numId w:val="3"/>
        </w:numPr>
      </w:pPr>
      <w:r>
        <w:rPr>
          <w:b/>
          <w:bCs/>
        </w:rPr>
        <w:t xml:space="preserve">Rainfall regime: </w:t>
      </w:r>
      <w:r>
        <w:t xml:space="preserve">Increase moisture weight from 35% to 45% during monsoon (May–Sep SW, Oct–Dec NE); reduce during dry season.</w:t>
      </w:r>
    </w:p>
    <w:p>
      <w:pPr>
        <w:pStyle w:val="ListParagraph"/>
        <w:numPr>
          <w:ilvl w:val="0"/>
          <w:numId w:val="3"/>
        </w:numPr>
      </w:pPr>
      <w:r>
        <w:rPr>
          <w:b/>
          <w:bCs/>
        </w:rPr>
        <w:t xml:space="preserve">Antecedent conditions: </w:t>
      </w:r>
      <w:r>
        <w:t xml:space="preserve">Track 7-day cumulative rainfall; lower thresholds when soil is pre-saturated.</w:t>
      </w:r>
    </w:p>
    <w:p>
      <w:pPr>
        <w:pStyle w:val="ListParagraph"/>
        <w:numPr>
          <w:ilvl w:val="0"/>
          <w:numId w:val="3"/>
        </w:numPr>
      </w:pPr>
      <w:r>
        <w:rPr>
          <w:b/>
          <w:bCs/>
        </w:rPr>
        <w:t xml:space="preserve">Hazard zone: </w:t>
      </w:r>
      <w:r>
        <w:t xml:space="preserve">Lower tilt threshold from 5mm/hr to 3mm/hr in Very High/High hazard zones.</w:t>
      </w:r>
    </w:p>
    <w:p>
      <w:pPr>
        <w:spacing w:before="15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Pr>
          <w:p>
            <w:pPr>
              <w:spacing w:before="100" w:after="50"/>
            </w:pPr>
            <w:r>
              <w:rPr>
                <w:b/>
                <w:bCs/>
                <w:color w:val="276749"/>
              </w:rPr>
              <w:t xml:space="preserve">📦 Deliverables:</w:t>
            </w:r>
          </w:p>
          <w:p>
            <w:pPr>
              <w:spacing w:after="50"/>
            </w:pPr>
            <w:r>
              <w:rPr>
                <w:sz w:val="20"/>
                <w:szCs w:val="20"/>
              </w:rPr>
              <w:t xml:space="preserve">• core/cross_modal_validator.py – CrossModalValidator class</w:t>
            </w:r>
          </w:p>
          <w:p>
            <w:pPr>
              <w:spacing w:after="50"/>
            </w:pPr>
            <w:r>
              <w:rPr>
                <w:sz w:val="20"/>
                <w:szCs w:val="20"/>
              </w:rPr>
              <w:t xml:space="preserve">• Updates to RiskScorer for dynamic weight adjustment</w:t>
            </w:r>
          </w:p>
          <w:p>
            <w:pPr>
              <w:spacing w:after="50"/>
            </w:pPr>
            <w:r>
              <w:rPr>
                <w:sz w:val="20"/>
                <w:szCs w:val="20"/>
              </w:rPr>
              <w:t xml:space="preserve">• Configuration file for seasonal weight profiles</w:t>
            </w:r>
          </w:p>
          <w:p>
            <w:pPr>
              <w:spacing w:after="50"/>
            </w:pPr>
            <w:r>
              <w:rPr>
                <w:sz w:val="20"/>
                <w:szCs w:val="20"/>
              </w:rPr>
              <w:t xml:space="preserve">• Unit tests for cross-modal rules and dynamic weights</w:t>
            </w:r>
          </w:p>
        </w:tc>
      </w:tr>
    </w:tbl>
    <w:p>
      <w:pPr>
        <w:pStyle w:val="Heading2"/>
      </w:pPr>
      <w:r>
        <w:t xml:space="preserve">1.4 Rainfall Forecasting Integration</w:t>
      </w:r>
    </w:p>
    <w:p>
      <w:pPr>
        <w:pStyle w:val="Heading3"/>
      </w:pPr>
      <w:r>
        <w:t xml:space="preserve">Rationale</w:t>
      </w:r>
    </w:p>
    <w:p>
      <w:pPr>
        <w:spacing w:after="100"/>
      </w:pPr>
      <w:r>
        <w:t xml:space="preserve">Antecedent rainfall adjustments are reactive—they respond to rainfall that has already occurred. Integrating rainfall forecasts enables proactive risk escalation, potentially increasing alert lead time by 6-24 hours.</w:t>
      </w:r>
    </w:p>
    <w:p>
      <w:pPr>
        <w:pStyle w:val="Heading3"/>
      </w:pPr>
      <w:r>
        <w:t xml:space="preserve">Implementation</w:t>
      </w:r>
    </w:p>
    <w:p>
      <w:pPr>
        <w:pStyle w:val="ListParagraph"/>
        <w:numPr>
          <w:ilvl w:val="0"/>
          <w:numId w:val="3"/>
        </w:numPr>
      </w:pPr>
      <w:r>
        <w:rPr>
          <w:b/>
          <w:bCs/>
        </w:rPr>
        <w:t xml:space="preserve">Weather API integration: </w:t>
      </w:r>
      <w:r>
        <w:t xml:space="preserve">Integrate with Sri Lanka Department of Meteorology API or Open-Meteo for 24-48 hour rainfall forecasts.</w:t>
      </w:r>
    </w:p>
    <w:p>
      <w:pPr>
        <w:pStyle w:val="ListParagraph"/>
        <w:numPr>
          <w:ilvl w:val="0"/>
          <w:numId w:val="3"/>
        </w:numPr>
      </w:pPr>
      <w:r>
        <w:rPr>
          <w:b/>
          <w:bCs/>
        </w:rPr>
        <w:t xml:space="preserve">Forecast risk modifier: </w:t>
      </w:r>
      <w:r>
        <w:t xml:space="preserve">If forecast rainfall exceeds NBRO Yellow threshold (75mm/24h), apply 1.1× risk multiplier; Orange (100mm) → 1.2×; Red (150mm) → 1.3×.</w:t>
      </w:r>
    </w:p>
    <w:p>
      <w:pPr>
        <w:pStyle w:val="ListParagraph"/>
        <w:numPr>
          <w:ilvl w:val="0"/>
          <w:numId w:val="3"/>
        </w:numPr>
      </w:pPr>
      <w:r>
        <w:rPr>
          <w:b/>
          <w:bCs/>
        </w:rPr>
        <w:t xml:space="preserve">Confidence weighting: </w:t>
      </w:r>
      <w:r>
        <w:t xml:space="preserve">Weight forecast impact by forecast confidence and time horizon (higher weight for 6h forecast vs. 48h).</w:t>
      </w:r>
    </w:p>
    <w:p>
      <w:pPr>
        <w:pStyle w:val="ListParagraph"/>
        <w:numPr>
          <w:ilvl w:val="0"/>
          <w:numId w:val="3"/>
        </w:numPr>
      </w:pPr>
      <w:r>
        <w:rPr>
          <w:b/>
          <w:bCs/>
        </w:rPr>
        <w:t xml:space="preserve">Caching strategy: </w:t>
      </w:r>
      <w:r>
        <w:t xml:space="preserve">Cache forecasts in DynamoDB with 1-hour TTL to minimize API calls and costs.</w:t>
      </w:r>
    </w:p>
    <w:p>
      <w:pPr>
        <w:pStyle w:val="ListParagraph"/>
        <w:numPr>
          <w:ilvl w:val="0"/>
          <w:numId w:val="3"/>
        </w:numPr>
      </w:pPr>
      <w:r>
        <w:rPr>
          <w:b/>
          <w:bCs/>
        </w:rPr>
        <w:t xml:space="preserve">Fallback: </w:t>
      </w:r>
      <w:r>
        <w:t xml:space="preserve">If forecast unavailable, continue using observed rainfall only (graceful degradation).</w:t>
      </w:r>
    </w:p>
    <w:p>
      <w:pPr>
        <w:pStyle w:val="Heading3"/>
      </w:pPr>
      <w:r>
        <w:t xml:space="preserve">Success Criteria</w:t>
      </w:r>
    </w:p>
    <w:p>
      <w:pPr>
        <w:pStyle w:val="ListParagraph"/>
        <w:numPr>
          <w:ilvl w:val="0"/>
          <w:numId w:val="3"/>
        </w:numPr>
      </w:pPr>
      <w:r>
        <w:t xml:space="preserve">Forecast data available for ≥95% of detection cycles</w:t>
      </w:r>
    </w:p>
    <w:p>
      <w:pPr>
        <w:pStyle w:val="ListParagraph"/>
        <w:numPr>
          <w:ilvl w:val="0"/>
          <w:numId w:val="3"/>
        </w:numPr>
      </w:pPr>
      <w:r>
        <w:t xml:space="preserve">Alert lead time improvement: ≥15% increase compared to reactive-only baseline</w:t>
      </w:r>
    </w:p>
    <w:p>
      <w:pPr>
        <w:spacing w:before="15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Pr>
          <w:p>
            <w:pPr>
              <w:spacing w:before="100" w:after="50"/>
            </w:pPr>
            <w:r>
              <w:rPr>
                <w:b/>
                <w:bCs/>
                <w:color w:val="276749"/>
              </w:rPr>
              <w:t xml:space="preserve">📦 Deliverables:</w:t>
            </w:r>
          </w:p>
          <w:p>
            <w:pPr>
              <w:spacing w:after="50"/>
            </w:pPr>
            <w:r>
              <w:rPr>
                <w:sz w:val="20"/>
                <w:szCs w:val="20"/>
              </w:rPr>
              <w:t xml:space="preserve">• clients/weather_client.py – WeatherForecastClient class</w:t>
            </w:r>
          </w:p>
          <w:p>
            <w:pPr>
              <w:spacing w:after="50"/>
            </w:pPr>
            <w:r>
              <w:rPr>
                <w:sz w:val="20"/>
                <w:szCs w:val="20"/>
              </w:rPr>
              <w:t xml:space="preserve">• Integration into RiskScorer rainfall amplification</w:t>
            </w:r>
          </w:p>
          <w:p>
            <w:pPr>
              <w:spacing w:after="50"/>
            </w:pPr>
            <w:r>
              <w:rPr>
                <w:sz w:val="20"/>
                <w:szCs w:val="20"/>
              </w:rPr>
              <w:t xml:space="preserve">• DynamoDB forecast cache table</w:t>
            </w:r>
          </w:p>
          <w:p>
            <w:pPr>
              <w:spacing w:after="50"/>
            </w:pPr>
            <w:r>
              <w:rPr>
                <w:sz w:val="20"/>
                <w:szCs w:val="20"/>
              </w:rPr>
              <w:t xml:space="preserve">• Unit tests with mocked weather API responses</w:t>
            </w:r>
          </w:p>
        </w:tc>
      </w:tr>
    </w:tbl>
    <w:p>
      <w:pPr>
        <w:pStyle w:val="Heading2"/>
      </w:pPr>
      <w:r>
        <w:t xml:space="preserve">1.5 Negative Pore Pressure Handling</w:t>
      </w:r>
    </w:p>
    <w:p>
      <w:pPr>
        <w:pStyle w:val="Heading3"/>
      </w:pPr>
      <w:r>
        <w:t xml:space="preserve">Current Gap</w:t>
      </w:r>
    </w:p>
    <w:p>
      <w:pPr>
        <w:spacing w:after="100"/>
      </w:pPr>
      <w:r>
        <w:t xml:space="preserve">The current system treats negative pore pressure as stabilising (matric suction), but doesn't distinguish between genuine negative readings (unsaturated soil) and sensor errors (stuck sensor, calibration drift, damaged sensor).</w:t>
      </w:r>
    </w:p>
    <w:p>
      <w:pPr>
        <w:pStyle w:val="Heading3"/>
      </w:pPr>
      <w:r>
        <w:t xml:space="preserve">Implementation</w:t>
      </w:r>
    </w:p>
    <w:p>
      <w:pPr>
        <w:pStyle w:val="ListParagraph"/>
        <w:numPr>
          <w:ilvl w:val="0"/>
          <w:numId w:val="3"/>
        </w:numPr>
      </w:pPr>
      <w:r>
        <w:rPr>
          <w:b/>
          <w:bCs/>
        </w:rPr>
        <w:t xml:space="preserve">Plausibility checks: </w:t>
      </w:r>
    </w:p>
    <w:p>
      <w:pPr>
        <w:pStyle w:val="ListParagraph"/>
        <w:numPr>
          <w:ilvl w:val="0"/>
          <w:numId w:val="4"/>
        </w:numPr>
      </w:pPr>
      <w:r>
        <w:t xml:space="preserve">If pore_pressure &lt; -50 kPa → likely sensor error (flag DEGRADED)</w:t>
      </w:r>
    </w:p>
    <w:p>
      <w:pPr>
        <w:pStyle w:val="ListParagraph"/>
        <w:numPr>
          <w:ilvl w:val="0"/>
          <w:numId w:val="4"/>
        </w:numPr>
      </w:pPr>
      <w:r>
        <w:t xml:space="preserve">If pore_pressure negative but moisture &gt; 80% → inconsistent, flag for review</w:t>
      </w:r>
    </w:p>
    <w:p>
      <w:pPr>
        <w:pStyle w:val="ListParagraph"/>
        <w:numPr>
          <w:ilvl w:val="0"/>
          <w:numId w:val="4"/>
        </w:numPr>
      </w:pPr>
      <w:r>
        <w:t xml:space="preserve">If pore_pressure stuck at same negative value for &gt;6 hours → stuck sensor</w:t>
      </w:r>
    </w:p>
    <w:p>
      <w:pPr>
        <w:pStyle w:val="ListParagraph"/>
        <w:numPr>
          <w:ilvl w:val="0"/>
          <w:numId w:val="3"/>
        </w:numPr>
      </w:pPr>
      <w:r>
        <w:rPr>
          <w:b/>
          <w:bCs/>
        </w:rPr>
        <w:t xml:space="preserve">Cross-modal validation: </w:t>
      </w:r>
      <w:r>
        <w:t xml:space="preserve">Genuine negative pore pressure should correlate with low-moderate moisture and dry weather conditions.</w:t>
      </w:r>
    </w:p>
    <w:p>
      <w:pPr>
        <w:pStyle w:val="ListParagraph"/>
        <w:numPr>
          <w:ilvl w:val="0"/>
          <w:numId w:val="3"/>
        </w:numPr>
      </w:pPr>
      <w:r>
        <w:rPr>
          <w:b/>
          <w:bCs/>
        </w:rPr>
        <w:t xml:space="preserve">Transition monitoring: </w:t>
      </w:r>
      <w:r>
        <w:t xml:space="preserve">Rapid transition from negative to positive pore pressure is a critical precursor—trigger elevated monitoring when rate &gt; 2 kPa/hour.</w:t>
      </w:r>
    </w:p>
    <w:p>
      <w:pPr>
        <w:pStyle w:val="ListParagraph"/>
        <w:numPr>
          <w:ilvl w:val="0"/>
          <w:numId w:val="3"/>
        </w:numPr>
      </w:pPr>
      <w:r>
        <w:rPr>
          <w:b/>
          <w:bCs/>
        </w:rPr>
        <w:t xml:space="preserve">LLM context: </w:t>
      </w:r>
      <w:r>
        <w:t xml:space="preserve">Include pore_pressure_status (VALID_SUCTION, VALID_POSITIVE, SUSPECT_ERROR) in LLM prompt for reasoning.</w:t>
      </w:r>
    </w:p>
    <w:p>
      <w:pPr>
        <w:spacing w:before="15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Pr>
          <w:p>
            <w:pPr>
              <w:spacing w:before="100" w:after="50"/>
            </w:pPr>
            <w:r>
              <w:rPr>
                <w:b/>
                <w:bCs/>
                <w:color w:val="276749"/>
              </w:rPr>
              <w:t xml:space="preserve">📦 Deliverables:</w:t>
            </w:r>
          </w:p>
          <w:p>
            <w:pPr>
              <w:spacing w:after="50"/>
            </w:pPr>
            <w:r>
              <w:rPr>
                <w:sz w:val="20"/>
                <w:szCs w:val="20"/>
              </w:rPr>
              <w:t xml:space="preserve">• Updates to SensorHealthChecker for pore pressure validation</w:t>
            </w:r>
          </w:p>
          <w:p>
            <w:pPr>
              <w:spacing w:after="50"/>
            </w:pPr>
            <w:r>
              <w:rPr>
                <w:sz w:val="20"/>
                <w:szCs w:val="20"/>
              </w:rPr>
              <w:t xml:space="preserve">• Cross-modal rule for moisture/pore pressure consistency</w:t>
            </w:r>
          </w:p>
          <w:p>
            <w:pPr>
              <w:spacing w:after="50"/>
            </w:pPr>
            <w:r>
              <w:rPr>
                <w:sz w:val="20"/>
                <w:szCs w:val="20"/>
              </w:rPr>
              <w:t xml:space="preserve">• Pore pressure transition rate calculation in TrendAnalyzer</w:t>
            </w:r>
          </w:p>
          <w:p>
            <w:pPr>
              <w:spacing w:after="50"/>
            </w:pPr>
            <w:r>
              <w:rPr>
                <w:sz w:val="20"/>
                <w:szCs w:val="20"/>
              </w:rPr>
              <w:t xml:space="preserve">• Updated LLM prompt with pore_pressure_status field</w:t>
            </w:r>
          </w:p>
        </w:tc>
      </w:tr>
    </w:tbl>
    <w:p>
      <w:r>
        <w:br w:type="page"/>
      </w:r>
    </w:p>
    <w:p>
      <w:pPr>
        <w:pStyle w:val="Heading1"/>
      </w:pPr>
      <w:r>
        <w:t xml:space="preserve">Phase 2 – High-Impact Enhancements (3–4 weeks)</w:t>
      </w:r>
    </w:p>
    <w:p>
      <w:pPr>
        <w:spacing w:after="200"/>
      </w:pPr>
      <w:r>
        <w:t xml:space="preserve">These items build on Phase 1 and make the system more intelligent. They require moderate development and may involve updating the LLM prompt structure.</w:t>
      </w:r>
    </w:p>
    <w:p>
      <w:pPr>
        <w:pStyle w:val="Heading2"/>
      </w:pPr>
      <w:r>
        <w:t xml:space="preserve">2.1 Dynamic Threshold Adaptation</w:t>
      </w:r>
    </w:p>
    <w:p>
      <w:pPr>
        <w:spacing w:after="100"/>
      </w:pPr>
      <w:r>
        <w:t xml:space="preserve">Fixed thresholds (moisture ≥85%, tilt ≥5mm/hr) are currently applied uniformly regardless of geological context. Adapt thresholds using hazard zone metadata and environmental context.</w:t>
      </w:r>
    </w:p>
    <w:p>
      <w:pPr>
        <w:pStyle w:val="ListParagraph"/>
        <w:numPr>
          <w:ilvl w:val="0"/>
          <w:numId w:val="3"/>
        </w:numPr>
      </w:pPr>
      <w:r>
        <w:rPr>
          <w:b/>
          <w:bCs/>
        </w:rPr>
        <w:t xml:space="preserve">Hazard-level adjustment: </w:t>
      </w:r>
      <w:r>
        <w:t xml:space="preserve">Lower tilt threshold to 3mm/hr in Very High zones; raise to 7mm/hr in Low zones.</w:t>
      </w:r>
    </w:p>
    <w:p>
      <w:pPr>
        <w:pStyle w:val="ListParagraph"/>
        <w:numPr>
          <w:ilvl w:val="0"/>
          <w:numId w:val="3"/>
        </w:numPr>
      </w:pPr>
      <w:r>
        <w:rPr>
          <w:b/>
          <w:bCs/>
        </w:rPr>
        <w:t xml:space="preserve">Soil-type adjustment: </w:t>
      </w:r>
      <w:r>
        <w:t xml:space="preserve">Colluvium triggers at 75% moisture vs. 85% for Residual soil (already partially implemented via RAG critical_moisture).</w:t>
      </w:r>
    </w:p>
    <w:p>
      <w:pPr>
        <w:pStyle w:val="ListParagraph"/>
        <w:numPr>
          <w:ilvl w:val="0"/>
          <w:numId w:val="3"/>
        </w:numPr>
      </w:pPr>
      <w:r>
        <w:rPr>
          <w:b/>
          <w:bCs/>
        </w:rPr>
        <w:t xml:space="preserve">RAG extension: </w:t>
      </w:r>
      <w:r>
        <w:t xml:space="preserve">Extend RAG client response to include threshold_modifiers object based on hazard zone metadata.</w:t>
      </w:r>
    </w:p>
    <w:p>
      <w:pPr>
        <w:spacing w:before="15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Pr>
          <w:p>
            <w:pPr>
              <w:spacing w:before="100" w:after="50"/>
            </w:pPr>
            <w:r>
              <w:rPr>
                <w:b/>
                <w:bCs/>
                <w:color w:val="276749"/>
              </w:rPr>
              <w:t xml:space="preserve">📦 Deliverables:</w:t>
            </w:r>
          </w:p>
          <w:p>
            <w:pPr>
              <w:spacing w:after="50"/>
            </w:pPr>
            <w:r>
              <w:rPr>
                <w:sz w:val="20"/>
                <w:szCs w:val="20"/>
              </w:rPr>
              <w:t xml:space="preserve">• Updated rag_client.py with threshold_modifiers response</w:t>
            </w:r>
          </w:p>
          <w:p>
            <w:pPr>
              <w:spacing w:after="50"/>
            </w:pPr>
            <w:r>
              <w:rPr>
                <w:sz w:val="20"/>
                <w:szCs w:val="20"/>
              </w:rPr>
              <w:t xml:space="preserve">• Updated RiskScorer to apply threshold modifiers</w:t>
            </w:r>
          </w:p>
          <w:p>
            <w:pPr>
              <w:spacing w:after="50"/>
            </w:pPr>
            <w:r>
              <w:rPr>
                <w:sz w:val="20"/>
                <w:szCs w:val="20"/>
              </w:rPr>
              <w:t xml:space="preserve">• Configuration mapping hazard level → threshold adjustments</w:t>
            </w:r>
          </w:p>
        </w:tc>
      </w:tr>
    </w:tbl>
    <w:p>
      <w:pPr>
        <w:pStyle w:val="Heading2"/>
      </w:pPr>
      <w:r>
        <w:t xml:space="preserve">2.2 Enhanced RAG Semantic Search</w:t>
      </w:r>
    </w:p>
    <w:p>
      <w:pPr>
        <w:pStyle w:val="Heading3"/>
      </w:pPr>
      <w:r>
        <w:t xml:space="preserve">Current Issues (from analyse_data.py)</w:t>
      </w:r>
    </w:p>
    <w:p>
      <w:pPr>
        <w:pStyle w:val="ListParagraph"/>
        <w:numPr>
          <w:ilvl w:val="0"/>
          <w:numId w:val="3"/>
        </w:numPr>
      </w:pPr>
      <w:r>
        <w:t xml:space="preserve">Query "Very High hazard" returns "Low" as top result (score 0.31)</w:t>
      </w:r>
    </w:p>
    <w:p>
      <w:pPr>
        <w:pStyle w:val="ListParagraph"/>
        <w:numPr>
          <w:ilvl w:val="0"/>
          <w:numId w:val="3"/>
        </w:numPr>
      </w:pPr>
      <w:r>
        <w:t xml:space="preserve">Query "Safe zones" returns "High" as top result (score 0.44)</w:t>
      </w:r>
    </w:p>
    <w:p>
      <w:pPr>
        <w:pStyle w:val="ListParagraph"/>
        <w:numPr>
          <w:ilvl w:val="0"/>
          <w:numId w:val="3"/>
        </w:numPr>
      </w:pPr>
      <w:r>
        <w:t xml:space="preserve">General-purpose embedding model (all-MiniLM-L6-v2) doesn't capture hazard severity semantics</w:t>
      </w:r>
    </w:p>
    <w:p>
      <w:pPr>
        <w:pStyle w:val="Heading3"/>
      </w:pPr>
      <w:r>
        <w:t xml:space="preserve">Improvements</w:t>
      </w:r>
    </w:p>
    <w:p>
      <w:pPr>
        <w:pStyle w:val="ListParagraph"/>
        <w:numPr>
          <w:ilvl w:val="0"/>
          <w:numId w:val="3"/>
        </w:numPr>
      </w:pPr>
      <w:r>
        <w:rPr>
          <w:b/>
          <w:bCs/>
        </w:rPr>
        <w:t xml:space="preserve">Embedding text structuring: </w:t>
      </w:r>
      <w:r>
        <w:t xml:space="preserve">Place hazard level FIRST with severity synonyms: "HAZARD LEVEL: Very High. critical extreme dangerous severe."</w:t>
      </w:r>
    </w:p>
    <w:p>
      <w:pPr>
        <w:pStyle w:val="ListParagraph"/>
        <w:numPr>
          <w:ilvl w:val="0"/>
          <w:numId w:val="3"/>
        </w:numPr>
      </w:pPr>
      <w:r>
        <w:rPr>
          <w:b/>
          <w:bCs/>
        </w:rPr>
        <w:t xml:space="preserve">Hybrid search: </w:t>
      </w:r>
      <w:r>
        <w:t xml:space="preserve">Combine vector similarity with Pinecone metadata filtering – filter by level before ranking.</w:t>
      </w:r>
    </w:p>
    <w:p>
      <w:pPr>
        <w:pStyle w:val="ListParagraph"/>
        <w:numPr>
          <w:ilvl w:val="0"/>
          <w:numId w:val="3"/>
        </w:numPr>
      </w:pPr>
      <w:r>
        <w:rPr>
          <w:b/>
          <w:bCs/>
        </w:rPr>
        <w:t xml:space="preserve">Query rewriting: </w:t>
      </w:r>
      <w:r>
        <w:t xml:space="preserve">Transform queries to match embedding structure.</w:t>
      </w:r>
    </w:p>
    <w:p>
      <w:pPr>
        <w:pStyle w:val="ListParagraph"/>
        <w:numPr>
          <w:ilvl w:val="0"/>
          <w:numId w:val="3"/>
        </w:numPr>
      </w:pPr>
      <w:r>
        <w:rPr>
          <w:b/>
          <w:bCs/>
        </w:rPr>
        <w:t xml:space="preserve">Historical events retrieval: </w:t>
      </w:r>
      <w:r>
        <w:t xml:space="preserve">Start indexing historical landslide events. When composite risk &gt; 0.5, retrieve similar events and include in LLM context.</w:t>
      </w:r>
    </w:p>
    <w:p>
      <w:pPr>
        <w:spacing w:before="15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Pr>
          <w:p>
            <w:pPr>
              <w:spacing w:before="100" w:after="50"/>
            </w:pPr>
            <w:r>
              <w:rPr>
                <w:b/>
                <w:bCs/>
                <w:color w:val="276749"/>
              </w:rPr>
              <w:t xml:space="preserve">📦 Deliverables:</w:t>
            </w:r>
          </w:p>
          <w:p>
            <w:pPr>
              <w:spacing w:after="50"/>
            </w:pPr>
            <w:r>
              <w:rPr>
                <w:sz w:val="20"/>
                <w:szCs w:val="20"/>
              </w:rPr>
              <w:t xml:space="preserve">• Updated geo_processor.py with enhanced embedding text</w:t>
            </w:r>
          </w:p>
          <w:p>
            <w:pPr>
              <w:spacing w:after="50"/>
            </w:pPr>
            <w:r>
              <w:rPr>
                <w:sz w:val="20"/>
                <w:szCs w:val="20"/>
              </w:rPr>
              <w:t xml:space="preserve">• Re-indexed Pinecone vectors with new embedding structure</w:t>
            </w:r>
          </w:p>
          <w:p>
            <w:pPr>
              <w:spacing w:after="50"/>
            </w:pPr>
            <w:r>
              <w:rPr>
                <w:sz w:val="20"/>
                <w:szCs w:val="20"/>
              </w:rPr>
              <w:t xml:space="preserve">• rag_query_lambda.py semantic search implementation</w:t>
            </w:r>
          </w:p>
          <w:p>
            <w:pPr>
              <w:spacing w:after="50"/>
            </w:pPr>
            <w:r>
              <w:rPr>
                <w:sz w:val="20"/>
                <w:szCs w:val="20"/>
              </w:rPr>
              <w:t xml:space="preserve">• Query rewriting utility function</w:t>
            </w:r>
          </w:p>
        </w:tc>
      </w:tr>
    </w:tbl>
    <w:p>
      <w:pPr>
        <w:pStyle w:val="Heading2"/>
      </w:pPr>
      <w:r>
        <w:t xml:space="preserve">2.3 Evidence Citation and Uncertainty Quantification</w:t>
      </w:r>
    </w:p>
    <w:p>
      <w:pPr>
        <w:spacing w:after="100"/>
      </w:pPr>
      <w:r>
        <w:t xml:space="preserve">Modify the Bedrock system prompt to require structured evidence citations and confidence intervals. This increases transparency and supports auditing.</w:t>
      </w:r>
    </w:p>
    <w:p>
      <w:pPr>
        <w:pStyle w:val="Heading3"/>
      </w:pPr>
      <w:r>
        <w:t xml:space="preserve">Enhanced JSON Schema</w:t>
      </w:r>
    </w:p>
    <w:p>
      <w:pPr>
        <w:shd w:fill="f7fafc" w:val="clear"/>
        <w:spacing w:after="50"/>
      </w:pPr>
      <w:r>
        <w:rPr>
          <w:rFonts w:ascii="Courier New" w:cs="Courier New" w:eastAsia="Courier New" w:hAnsi="Courier New"/>
          <w:sz w:val="18"/>
          <w:szCs w:val="18"/>
        </w:rPr>
        <w:t xml:space="preserve">{</w:t>
      </w:r>
    </w:p>
    <w:p>
      <w:pPr>
        <w:shd w:fill="f7fafc" w:val="clear"/>
      </w:pPr>
      <w:r>
        <w:rPr>
          <w:rFonts w:ascii="Courier New" w:cs="Courier New" w:eastAsia="Courier New" w:hAnsi="Courier New"/>
          <w:sz w:val="18"/>
          <w:szCs w:val="18"/>
        </w:rPr>
        <w:t xml:space="preserve">  "risk_level": "Orange",</w:t>
      </w:r>
    </w:p>
    <w:p>
      <w:pPr>
        <w:shd w:fill="f7fafc" w:val="clear"/>
      </w:pPr>
      <w:r>
        <w:rPr>
          <w:rFonts w:ascii="Courier New" w:cs="Courier New" w:eastAsia="Courier New" w:hAnsi="Courier New"/>
          <w:sz w:val="18"/>
          <w:szCs w:val="18"/>
        </w:rPr>
        <w:t xml:space="preserve">  "confidence": 0.78,</w:t>
      </w:r>
    </w:p>
    <w:p>
      <w:pPr>
        <w:shd w:fill="f7fafc" w:val="clear"/>
      </w:pPr>
      <w:r>
        <w:rPr>
          <w:rFonts w:ascii="Courier New" w:cs="Courier New" w:eastAsia="Courier New" w:hAnsi="Courier New"/>
          <w:sz w:val="18"/>
          <w:szCs w:val="18"/>
        </w:rPr>
        <w:t xml:space="preserve">  "evidence_citations": [</w:t>
      </w:r>
    </w:p>
    <w:p>
      <w:pPr>
        <w:shd w:fill="f7fafc" w:val="clear"/>
      </w:pPr>
      <w:r>
        <w:rPr>
          <w:rFonts w:ascii="Courier New" w:cs="Courier New" w:eastAsia="Courier New" w:hAnsi="Courier New"/>
          <w:sz w:val="18"/>
          <w:szCs w:val="18"/>
        </w:rPr>
        <w:t xml:space="preserve">    {"sensor": "SENS-001", "metric": "moisture",</w:t>
      </w:r>
    </w:p>
    <w:p>
      <w:pPr>
        <w:shd w:fill="f7fafc" w:val="clear"/>
      </w:pPr>
      <w:r>
        <w:rPr>
          <w:rFonts w:ascii="Courier New" w:cs="Courier New" w:eastAsia="Courier New" w:hAnsi="Courier New"/>
          <w:sz w:val="18"/>
          <w:szCs w:val="18"/>
        </w:rPr>
        <w:t xml:space="preserve">     "value": 82, "threshold": 75, "risk_contribution": 0.35}</w:t>
      </w:r>
    </w:p>
    <w:p>
      <w:pPr>
        <w:shd w:fill="f7fafc" w:val="clear"/>
      </w:pPr>
      <w:r>
        <w:rPr>
          <w:rFonts w:ascii="Courier New" w:cs="Courier New" w:eastAsia="Courier New" w:hAnsi="Courier New"/>
          <w:sz w:val="18"/>
          <w:szCs w:val="18"/>
        </w:rPr>
        <w:t xml:space="preserve">  ],</w:t>
      </w:r>
    </w:p>
    <w:p>
      <w:pPr>
        <w:shd w:fill="f7fafc" w:val="clear"/>
      </w:pPr>
      <w:r>
        <w:rPr>
          <w:rFonts w:ascii="Courier New" w:cs="Courier New" w:eastAsia="Courier New" w:hAnsi="Courier New"/>
          <w:sz w:val="18"/>
          <w:szCs w:val="18"/>
        </w:rPr>
        <w:t xml:space="preserve">  "time_to_failure": {</w:t>
      </w:r>
    </w:p>
    <w:p>
      <w:pPr>
        <w:shd w:fill="f7fafc" w:val="clear"/>
      </w:pPr>
      <w:r>
        <w:rPr>
          <w:rFonts w:ascii="Courier New" w:cs="Courier New" w:eastAsia="Courier New" w:hAnsi="Courier New"/>
          <w:sz w:val="18"/>
          <w:szCs w:val="18"/>
        </w:rPr>
        <w:t xml:space="preserve">    "estimate": "4 hours",</w:t>
      </w:r>
    </w:p>
    <w:p>
      <w:pPr>
        <w:shd w:fill="f7fafc" w:val="clear"/>
      </w:pPr>
      <w:r>
        <w:rPr>
          <w:rFonts w:ascii="Courier New" w:cs="Courier New" w:eastAsia="Courier New" w:hAnsi="Courier New"/>
          <w:sz w:val="18"/>
          <w:szCs w:val="18"/>
        </w:rPr>
        <w:t xml:space="preserve">    "confidence_interval": "2-8 hours"</w:t>
      </w:r>
    </w:p>
    <w:p>
      <w:pPr>
        <w:shd w:fill="f7fafc" w:val="clear"/>
      </w:pPr>
      <w:r>
        <w:rPr>
          <w:rFonts w:ascii="Courier New" w:cs="Courier New" w:eastAsia="Courier New" w:hAnsi="Courier New"/>
          <w:sz w:val="18"/>
          <w:szCs w:val="18"/>
        </w:rPr>
        <w:t xml:space="preserve">  }</w:t>
      </w:r>
    </w:p>
    <w:p>
      <w:pPr>
        <w:shd w:fill="f7fafc" w:val="clear"/>
        <w:spacing w:after="200"/>
      </w:pPr>
      <w:r>
        <w:rPr>
          <w:rFonts w:ascii="Courier New" w:cs="Courier New" w:eastAsia="Courier New" w:hAnsi="Courier New"/>
          <w:sz w:val="18"/>
          <w:szCs w:val="18"/>
        </w:rPr>
        <w:t xml:space="preserve">}</w:t>
      </w:r>
    </w:p>
    <w:p>
      <w:pPr>
        <w:spacing w:before="15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Pr>
          <w:p>
            <w:pPr>
              <w:spacing w:before="100" w:after="50"/>
            </w:pPr>
            <w:r>
              <w:rPr>
                <w:b/>
                <w:bCs/>
                <w:color w:val="276749"/>
              </w:rPr>
              <w:t xml:space="preserve">📦 Deliverables:</w:t>
            </w:r>
          </w:p>
          <w:p>
            <w:pPr>
              <w:spacing w:after="50"/>
            </w:pPr>
            <w:r>
              <w:rPr>
                <w:sz w:val="20"/>
                <w:szCs w:val="20"/>
              </w:rPr>
              <w:t xml:space="preserve">• Updated bedrock_client.py system prompt with evidence schema</w:t>
            </w:r>
          </w:p>
          <w:p>
            <w:pPr>
              <w:spacing w:after="50"/>
            </w:pPr>
            <w:r>
              <w:rPr>
                <w:sz w:val="20"/>
                <w:szCs w:val="20"/>
              </w:rPr>
              <w:t xml:space="preserve">• JSON schema validation for LLM response</w:t>
            </w:r>
          </w:p>
          <w:p>
            <w:pPr>
              <w:spacing w:after="50"/>
            </w:pPr>
            <w:r>
              <w:rPr>
                <w:sz w:val="20"/>
                <w:szCs w:val="20"/>
              </w:rPr>
              <w:t xml:space="preserve">• Alert record includes evidence_citations array</w:t>
            </w:r>
          </w:p>
        </w:tc>
      </w:tr>
    </w:tbl>
    <w:p>
      <w:pPr>
        <w:pStyle w:val="Heading2"/>
      </w:pPr>
      <w:r>
        <w:t xml:space="preserve">2.4 Expanded Test Suite and Continuous Integration</w:t>
      </w:r>
    </w:p>
    <w:p>
      <w:pPr>
        <w:pStyle w:val="ListParagraph"/>
        <w:numPr>
          <w:ilvl w:val="0"/>
          <w:numId w:val="3"/>
        </w:numPr>
      </w:pPr>
      <w:r>
        <w:t xml:space="preserve">Develop unit tests for trend calculations, sensor health checks, cross-modal rules, dynamic thresholds, RAG queries, and LLM prompt parsing.</w:t>
      </w:r>
    </w:p>
    <w:p>
      <w:pPr>
        <w:pStyle w:val="ListParagraph"/>
        <w:numPr>
          <w:ilvl w:val="0"/>
          <w:numId w:val="3"/>
        </w:numPr>
      </w:pPr>
      <w:r>
        <w:t xml:space="preserve">Use moto for AWS service mocking (DynamoDB, Lambda, SNS).</w:t>
      </w:r>
    </w:p>
    <w:p>
      <w:pPr>
        <w:pStyle w:val="ListParagraph"/>
        <w:numPr>
          <w:ilvl w:val="0"/>
          <w:numId w:val="3"/>
        </w:numPr>
      </w:pPr>
      <w:r>
        <w:t xml:space="preserve">Set up GitHub Actions CI pipeline to run tests on pull requests.</w:t>
      </w:r>
    </w:p>
    <w:p>
      <w:pPr>
        <w:pStyle w:val="ListParagraph"/>
        <w:numPr>
          <w:ilvl w:val="0"/>
          <w:numId w:val="3"/>
        </w:numPr>
      </w:pPr>
      <w:r>
        <w:t xml:space="preserve">Add integration tests using simulation harness.</w:t>
      </w:r>
    </w:p>
    <w:p>
      <w:pPr>
        <w:spacing w:before="15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Pr>
          <w:p>
            <w:pPr>
              <w:spacing w:before="100" w:after="50"/>
            </w:pPr>
            <w:r>
              <w:rPr>
                <w:b/>
                <w:bCs/>
                <w:color w:val="276749"/>
              </w:rPr>
              <w:t xml:space="preserve">📦 Deliverables:</w:t>
            </w:r>
          </w:p>
          <w:p>
            <w:pPr>
              <w:spacing w:after="50"/>
            </w:pPr>
            <w:r>
              <w:rPr>
                <w:sz w:val="20"/>
                <w:szCs w:val="20"/>
              </w:rPr>
              <w:t xml:space="preserve">• tests/unit/ – Complete unit test coverage</w:t>
            </w:r>
          </w:p>
          <w:p>
            <w:pPr>
              <w:spacing w:after="50"/>
            </w:pPr>
            <w:r>
              <w:rPr>
                <w:sz w:val="20"/>
                <w:szCs w:val="20"/>
              </w:rPr>
              <w:t xml:space="preserve">• tests/integration/ – Integration tests with mocked AWS</w:t>
            </w:r>
          </w:p>
          <w:p>
            <w:pPr>
              <w:spacing w:after="50"/>
            </w:pPr>
            <w:r>
              <w:rPr>
                <w:sz w:val="20"/>
                <w:szCs w:val="20"/>
              </w:rPr>
              <w:t xml:space="preserve">• .github/workflows/ci.yml – GitHub Actions pipeline</w:t>
            </w:r>
          </w:p>
          <w:p>
            <w:pPr>
              <w:spacing w:after="50"/>
            </w:pPr>
            <w:r>
              <w:rPr>
                <w:sz w:val="20"/>
                <w:szCs w:val="20"/>
              </w:rPr>
              <w:t xml:space="preserve">• Coverage report ≥80% for core modules</w:t>
            </w:r>
          </w:p>
        </w:tc>
      </w:tr>
    </w:tbl>
    <w:p>
      <w:r>
        <w:br w:type="page"/>
      </w:r>
    </w:p>
    <w:p>
      <w:pPr>
        <w:pStyle w:val="Heading1"/>
      </w:pPr>
      <w:r>
        <w:t xml:space="preserve">Phase 3 – Medium-Priority Enhancements (4–6 weeks)</w:t>
      </w:r>
    </w:p>
    <w:p>
      <w:pPr>
        <w:pStyle w:val="Heading2"/>
      </w:pPr>
      <w:r>
        <w:t xml:space="preserve">3.1 Inverse Velocity Failure Prediction</w:t>
      </w:r>
    </w:p>
    <w:p>
      <w:pPr>
        <w:spacing w:after="100"/>
      </w:pPr>
      <w:r>
        <w:t xml:space="preserve">The inverse velocity method (Fukuzono 1985) predicts failure time by plotting 1/velocity vs time. When velocity increases exponentially toward failure, inverse velocity trends linearly toward zero.</w:t>
      </w:r>
    </w:p>
    <w:p>
      <w:pPr>
        <w:pStyle w:val="ListParagraph"/>
        <w:numPr>
          <w:ilvl w:val="0"/>
          <w:numId w:val="3"/>
        </w:numPr>
      </w:pPr>
      <w:r>
        <w:t xml:space="preserve">Require minimum 6 hours of accelerating tilt data (positive tilt_acceleration from Phase 1)</w:t>
      </w:r>
    </w:p>
    <w:p>
      <w:pPr>
        <w:pStyle w:val="ListParagraph"/>
        <w:numPr>
          <w:ilvl w:val="0"/>
          <w:numId w:val="3"/>
        </w:numPr>
      </w:pPr>
      <w:r>
        <w:t xml:space="preserve">Calculate inverse velocity (1/tilt_rate) for each reading in the window</w:t>
      </w:r>
    </w:p>
    <w:p>
      <w:pPr>
        <w:pStyle w:val="ListParagraph"/>
        <w:numPr>
          <w:ilvl w:val="0"/>
          <w:numId w:val="3"/>
        </w:numPr>
      </w:pPr>
      <w:r>
        <w:t xml:space="preserve">Fit linear regression to inverse velocity vs time</w:t>
      </w:r>
    </w:p>
    <w:p>
      <w:pPr>
        <w:pStyle w:val="ListParagraph"/>
        <w:numPr>
          <w:ilvl w:val="0"/>
          <w:numId w:val="3"/>
        </w:numPr>
      </w:pPr>
      <w:r>
        <w:t xml:space="preserve">If slope is negative, extrapolate x-intercept as predicted failure time</w:t>
      </w:r>
    </w:p>
    <w:p>
      <w:pPr>
        <w:pStyle w:val="ListParagraph"/>
        <w:numPr>
          <w:ilvl w:val="0"/>
          <w:numId w:val="3"/>
        </w:numPr>
      </w:pPr>
      <w:r>
        <w:t xml:space="preserve">Require R² &gt; 0.7 for valid predictions; pass to LLM as time_to_failure input</w:t>
      </w:r>
    </w:p>
    <w:p>
      <w:pPr>
        <w:pStyle w:val="ListParagraph"/>
        <w:numPr>
          <w:ilvl w:val="0"/>
          <w:numId w:val="3"/>
        </w:numPr>
      </w:pPr>
      <w:r>
        <w:t xml:space="preserve">Validate against Aranayake 2016 simulation scenario</w:t>
      </w:r>
    </w:p>
    <w:p>
      <w:pPr>
        <w:spacing w:before="15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Pr>
          <w:p>
            <w:pPr>
              <w:spacing w:before="100" w:after="50"/>
            </w:pPr>
            <w:r>
              <w:rPr>
                <w:b/>
                <w:bCs/>
                <w:color w:val="276749"/>
              </w:rPr>
              <w:t xml:space="preserve">📦 Deliverables:</w:t>
            </w:r>
          </w:p>
          <w:p>
            <w:pPr>
              <w:spacing w:after="50"/>
            </w:pPr>
            <w:r>
              <w:rPr>
                <w:sz w:val="20"/>
                <w:szCs w:val="20"/>
              </w:rPr>
              <w:t xml:space="preserve">• core/inverse_velocity.py – InverseVelocityPredictor class</w:t>
            </w:r>
          </w:p>
          <w:p>
            <w:pPr>
              <w:spacing w:after="50"/>
            </w:pPr>
            <w:r>
              <w:rPr>
                <w:sz w:val="20"/>
                <w:szCs w:val="20"/>
              </w:rPr>
              <w:t xml:space="preserve">• Unit tests with synthetic accelerating tilt data</w:t>
            </w:r>
          </w:p>
          <w:p>
            <w:pPr>
              <w:spacing w:after="50"/>
            </w:pPr>
            <w:r>
              <w:rPr>
                <w:sz w:val="20"/>
                <w:szCs w:val="20"/>
              </w:rPr>
              <w:t xml:space="preserve">• Validation report against Aranayake scenario</w:t>
            </w:r>
          </w:p>
        </w:tc>
      </w:tr>
    </w:tbl>
    <w:p>
      <w:pPr>
        <w:pStyle w:val="Heading2"/>
      </w:pPr>
      <w:r>
        <w:t xml:space="preserve">3.2 Unsupervised Anomaly Detection</w:t>
      </w:r>
    </w:p>
    <w:p>
      <w:pPr>
        <w:spacing w:after="100"/>
      </w:pPr>
      <w:r>
        <w:t xml:space="preserve">Apply machine learning anomaly detection to catch emergent behaviours and sensor faults not captured by threshold rules. This complements (not replaces) the symbolic rule layer.</w:t>
      </w:r>
    </w:p>
    <w:p>
      <w:pPr>
        <w:pStyle w:val="ListParagraph"/>
        <w:numPr>
          <w:ilvl w:val="0"/>
          <w:numId w:val="3"/>
        </w:numPr>
      </w:pPr>
      <w:r>
        <w:rPr>
          <w:b/>
          <w:bCs/>
        </w:rPr>
        <w:t xml:space="preserve">Isolation Forest: </w:t>
      </w:r>
      <w:r>
        <w:t xml:space="preserve">Train on historical "normal" telemetry data. Flag readings that fall into sparse regions of feature space.</w:t>
      </w:r>
    </w:p>
    <w:p>
      <w:pPr>
        <w:pStyle w:val="ListParagraph"/>
        <w:numPr>
          <w:ilvl w:val="0"/>
          <w:numId w:val="3"/>
        </w:numPr>
      </w:pPr>
      <w:r>
        <w:rPr>
          <w:b/>
          <w:bCs/>
        </w:rPr>
        <w:t xml:space="preserve">Autoencoder: </w:t>
      </w:r>
      <w:r>
        <w:t xml:space="preserve">Train reconstruction model on normal patterns. High reconstruction error indicates anomaly.</w:t>
      </w:r>
    </w:p>
    <w:p>
      <w:pPr>
        <w:pStyle w:val="ListParagraph"/>
        <w:numPr>
          <w:ilvl w:val="0"/>
          <w:numId w:val="3"/>
        </w:numPr>
      </w:pPr>
      <w:r>
        <w:rPr>
          <w:b/>
          <w:bCs/>
        </w:rPr>
        <w:t xml:space="preserve">Feature set: </w:t>
      </w:r>
      <w:r>
        <w:t xml:space="preserve">Tilt, vibration, pore pressure time series; optionally include derived features (variance, trend slope).</w:t>
      </w:r>
    </w:p>
    <w:p>
      <w:pPr>
        <w:pStyle w:val="ListParagraph"/>
        <w:numPr>
          <w:ilvl w:val="0"/>
          <w:numId w:val="3"/>
        </w:numPr>
      </w:pPr>
      <w:r>
        <w:rPr>
          <w:b/>
          <w:bCs/>
        </w:rPr>
        <w:t xml:space="preserve">Integration: </w:t>
      </w:r>
      <w:r>
        <w:t xml:space="preserve">Use anomaly score as additional input to composite risk calculation (suggest weight: 5%).</w:t>
      </w:r>
    </w:p>
    <w:p>
      <w:pPr>
        <w:pStyle w:val="ListParagraph"/>
        <w:numPr>
          <w:ilvl w:val="0"/>
          <w:numId w:val="3"/>
        </w:numPr>
      </w:pPr>
      <w:r>
        <w:rPr>
          <w:b/>
          <w:bCs/>
        </w:rPr>
        <w:t xml:space="preserve">Infrastructure: </w:t>
      </w:r>
      <w:r>
        <w:t xml:space="preserve">Models can run in Lambda for inference; training can be done offline or in SageMaker.</w:t>
      </w:r>
    </w:p>
    <w:p>
      <w:pPr>
        <w:spacing w:before="15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Pr>
          <w:p>
            <w:pPr>
              <w:spacing w:before="100" w:after="50"/>
            </w:pPr>
            <w:r>
              <w:rPr>
                <w:b/>
                <w:bCs/>
                <w:color w:val="276749"/>
              </w:rPr>
              <w:t xml:space="preserve">📦 Deliverables:</w:t>
            </w:r>
          </w:p>
          <w:p>
            <w:pPr>
              <w:spacing w:after="50"/>
            </w:pPr>
            <w:r>
              <w:rPr>
                <w:sz w:val="20"/>
                <w:szCs w:val="20"/>
              </w:rPr>
              <w:t xml:space="preserve">• core/anomaly_detector.py – IsolationForestDetector and/or AutoencoderDetector</w:t>
            </w:r>
          </w:p>
          <w:p>
            <w:pPr>
              <w:spacing w:after="50"/>
            </w:pPr>
            <w:r>
              <w:rPr>
                <w:sz w:val="20"/>
                <w:szCs w:val="20"/>
              </w:rPr>
              <w:t xml:space="preserve">• models/ directory for serialized model artifacts</w:t>
            </w:r>
          </w:p>
          <w:p>
            <w:pPr>
              <w:spacing w:after="50"/>
            </w:pPr>
            <w:r>
              <w:rPr>
                <w:sz w:val="20"/>
                <w:szCs w:val="20"/>
              </w:rPr>
              <w:t xml:space="preserve">• Training script with sample data</w:t>
            </w:r>
          </w:p>
          <w:p>
            <w:pPr>
              <w:spacing w:after="50"/>
            </w:pPr>
            <w:r>
              <w:rPr>
                <w:sz w:val="20"/>
                <w:szCs w:val="20"/>
              </w:rPr>
              <w:t xml:space="preserve">• Integration into RiskScorer</w:t>
            </w:r>
          </w:p>
        </w:tc>
      </w:tr>
    </w:tbl>
    <w:p>
      <w:pPr>
        <w:pStyle w:val="Heading2"/>
      </w:pPr>
      <w:r>
        <w:t xml:space="preserve">3.3 Simulation Harness Expansion</w:t>
      </w:r>
    </w:p>
    <w:p>
      <w:pPr>
        <w:spacing w:after="100"/>
      </w:pPr>
      <w:r>
        <w:t xml:space="preserve">Extend the existing simulation (demo_aranayake2016.py) to generate varied failure scenarios for model calibration and cross-validation.</w:t>
      </w:r>
    </w:p>
    <w:p>
      <w:pPr>
        <w:pStyle w:val="ListParagraph"/>
        <w:numPr>
          <w:ilvl w:val="0"/>
          <w:numId w:val="3"/>
        </w:numPr>
      </w:pPr>
      <w:r>
        <w:rPr>
          <w:b/>
          <w:bCs/>
        </w:rPr>
        <w:t xml:space="preserve">Failure types: </w:t>
      </w:r>
      <w:r>
        <w:t xml:space="preserve">Rotational, translational, debris flow, piping/internal erosion</w:t>
      </w:r>
    </w:p>
    <w:p>
      <w:pPr>
        <w:pStyle w:val="ListParagraph"/>
        <w:numPr>
          <w:ilvl w:val="0"/>
          <w:numId w:val="3"/>
        </w:numPr>
      </w:pPr>
      <w:r>
        <w:rPr>
          <w:b/>
          <w:bCs/>
        </w:rPr>
        <w:t xml:space="preserve">Historical events: </w:t>
      </w:r>
      <w:r>
        <w:t xml:space="preserve">Meeriyabedda 2014 (piping signature), Koslanda 2014, Siripura 2003</w:t>
      </w:r>
    </w:p>
    <w:p>
      <w:pPr>
        <w:pStyle w:val="ListParagraph"/>
        <w:numPr>
          <w:ilvl w:val="0"/>
          <w:numId w:val="3"/>
        </w:numPr>
      </w:pPr>
      <w:r>
        <w:rPr>
          <w:b/>
          <w:bCs/>
        </w:rPr>
        <w:t xml:space="preserve">Sensor fault scenarios: </w:t>
      </w:r>
      <w:r>
        <w:t xml:space="preserve">Stuck sensors, communication gaps, calibration drift</w:t>
      </w:r>
    </w:p>
    <w:p>
      <w:pPr>
        <w:pStyle w:val="ListParagraph"/>
        <w:numPr>
          <w:ilvl w:val="0"/>
          <w:numId w:val="3"/>
        </w:numPr>
      </w:pPr>
      <w:r>
        <w:rPr>
          <w:b/>
          <w:bCs/>
        </w:rPr>
        <w:t xml:space="preserve">Validation suite: </w:t>
      </w:r>
      <w:r>
        <w:t xml:space="preserve">Benchmark detection accuracy (precision, recall, lead time) against known outcomes</w:t>
      </w:r>
    </w:p>
    <w:p>
      <w:pPr>
        <w:spacing w:before="15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Pr>
          <w:p>
            <w:pPr>
              <w:spacing w:before="100" w:after="50"/>
            </w:pPr>
            <w:r>
              <w:rPr>
                <w:b/>
                <w:bCs/>
                <w:color w:val="276749"/>
              </w:rPr>
              <w:t xml:space="preserve">📦 Deliverables:</w:t>
            </w:r>
          </w:p>
          <w:p>
            <w:pPr>
              <w:spacing w:after="50"/>
            </w:pPr>
            <w:r>
              <w:rPr>
                <w:sz w:val="20"/>
                <w:szCs w:val="20"/>
              </w:rPr>
              <w:t xml:space="preserve">• simulations/scenarios/ – Multiple scenario generators</w:t>
            </w:r>
          </w:p>
          <w:p>
            <w:pPr>
              <w:spacing w:after="50"/>
            </w:pPr>
            <w:r>
              <w:rPr>
                <w:sz w:val="20"/>
                <w:szCs w:val="20"/>
              </w:rPr>
              <w:t xml:space="preserve">• simulations/validation_suite.py – Automated accuracy benchmarking</w:t>
            </w:r>
          </w:p>
          <w:p>
            <w:pPr>
              <w:spacing w:after="50"/>
            </w:pPr>
            <w:r>
              <w:rPr>
                <w:sz w:val="20"/>
                <w:szCs w:val="20"/>
              </w:rPr>
              <w:t xml:space="preserve">• Documentation of each scenario's expected sensor signatures</w:t>
            </w:r>
          </w:p>
        </w:tc>
      </w:tr>
    </w:tbl>
    <w:p>
      <w:pPr>
        <w:pStyle w:val="Heading2"/>
      </w:pPr>
      <w:r>
        <w:t xml:space="preserve">3.4 Historical Pattern Matching via RAG</w:t>
      </w:r>
    </w:p>
    <w:p>
      <w:pPr>
        <w:spacing w:after="100"/>
      </w:pPr>
      <w:r>
        <w:t xml:space="preserve">Create a Pinecone namespace for historical landslide events. When current sensor patterns match historical precursors, retrieve and present to LLM for reasoning.</w:t>
      </w:r>
    </w:p>
    <w:p>
      <w:pPr>
        <w:pStyle w:val="ListParagraph"/>
        <w:numPr>
          <w:ilvl w:val="0"/>
          <w:numId w:val="3"/>
        </w:numPr>
      </w:pPr>
      <w:r>
        <w:t xml:space="preserve">Create historical_events namespace in Pinecone index</w:t>
      </w:r>
    </w:p>
    <w:p>
      <w:pPr>
        <w:pStyle w:val="ListParagraph"/>
        <w:numPr>
          <w:ilvl w:val="0"/>
          <w:numId w:val="3"/>
        </w:numPr>
      </w:pPr>
      <w:r>
        <w:t xml:space="preserve">Embed event descriptions with precursor signatures (moisture profile, tilt timeline, failure type)</w:t>
      </w:r>
    </w:p>
    <w:p>
      <w:pPr>
        <w:pStyle w:val="ListParagraph"/>
        <w:numPr>
          <w:ilvl w:val="0"/>
          <w:numId w:val="3"/>
        </w:numPr>
      </w:pPr>
      <w:r>
        <w:t xml:space="preserve">Query historical_events when composite risk &gt; 0.5</w:t>
      </w:r>
    </w:p>
    <w:p>
      <w:pPr>
        <w:pStyle w:val="ListParagraph"/>
        <w:numPr>
          <w:ilvl w:val="0"/>
          <w:numId w:val="3"/>
        </w:numPr>
      </w:pPr>
      <w:r>
        <w:t xml:space="preserve">Include similar historical events in LLM context for comparative reasoning</w:t>
      </w:r>
    </w:p>
    <w:p>
      <w:pPr>
        <w:spacing w:before="15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Pr>
          <w:p>
            <w:pPr>
              <w:spacing w:before="100" w:after="50"/>
            </w:pPr>
            <w:r>
              <w:rPr>
                <w:b/>
                <w:bCs/>
                <w:color w:val="276749"/>
              </w:rPr>
              <w:t xml:space="preserve">📦 Deliverables:</w:t>
            </w:r>
          </w:p>
          <w:p>
            <w:pPr>
              <w:spacing w:after="50"/>
            </w:pPr>
            <w:r>
              <w:rPr>
                <w:sz w:val="20"/>
                <w:szCs w:val="20"/>
              </w:rPr>
              <w:t xml:space="preserve">• data/historical_events/ – Structured event descriptions</w:t>
            </w:r>
          </w:p>
          <w:p>
            <w:pPr>
              <w:spacing w:after="50"/>
            </w:pPr>
            <w:r>
              <w:rPr>
                <w:sz w:val="20"/>
                <w:szCs w:val="20"/>
              </w:rPr>
              <w:t xml:space="preserve">• Historical event embedding and indexing script</w:t>
            </w:r>
          </w:p>
          <w:p>
            <w:pPr>
              <w:spacing w:after="50"/>
            </w:pPr>
            <w:r>
              <w:rPr>
                <w:sz w:val="20"/>
                <w:szCs w:val="20"/>
              </w:rPr>
              <w:t xml:space="preserve">• Updated RAG query for historical pattern retrieval</w:t>
            </w:r>
          </w:p>
        </w:tc>
      </w:tr>
    </w:tbl>
    <w:p>
      <w:r>
        <w:br w:type="page"/>
      </w:r>
    </w:p>
    <w:p>
      <w:pPr>
        <w:pStyle w:val="Heading1"/>
      </w:pPr>
      <w:r>
        <w:t xml:space="preserve">Phase 4 – Long-Term Enhancements (8–12 weeks)</w:t>
      </w:r>
    </w:p>
    <w:p>
      <w:pPr>
        <w:spacing w:after="200"/>
      </w:pPr>
      <w:r>
        <w:t xml:space="preserve">These items require significant development effort, external dependencies (NBRO collaboration, additional datasets), or specialized infrastructure. They move the system toward production readiness.</w:t>
      </w:r>
    </w:p>
    <w:p>
      <w:pPr>
        <w:pStyle w:val="Heading2"/>
      </w:pPr>
      <w:r>
        <w:t xml:space="preserve">4.1 NBRO Six-Factor Hazard Weighting</w:t>
      </w:r>
    </w:p>
    <w:p>
      <w:pPr>
        <w:spacing w:after="100"/>
      </w:pPr>
      <w:r>
        <w:t xml:space="preserve">Work with NBRO to obtain datasets for bedrock geology, hydrology, slope angle, overburden thickness, land use, and landform. Implement weighted linear combination to compute site-specific hazard scores.</w:t>
      </w:r>
    </w:p>
    <w:p>
      <w:pPr>
        <w:spacing w:after="100"/>
      </w:pPr>
      <w:r>
        <w:rPr>
          <w:i/>
          <w:iCs/>
        </w:rPr>
        <w:t xml:space="preserve">Dependency: </w:t>
      </w:r>
      <w:r>
        <w:t xml:space="preserve">Requires NBRO data sharing agreement and access to factor layer GIS data.</w:t>
      </w:r>
    </w:p>
    <w:p>
      <w:pPr>
        <w:pStyle w:val="Heading2"/>
      </w:pPr>
      <w:r>
        <w:t xml:space="preserve">4.2 Advanced ML Models for Forecasting</w:t>
      </w:r>
    </w:p>
    <w:p>
      <w:pPr>
        <w:pStyle w:val="ListParagraph"/>
        <w:numPr>
          <w:ilvl w:val="0"/>
          <w:numId w:val="3"/>
        </w:numPr>
      </w:pPr>
      <w:r>
        <w:rPr>
          <w:b/>
          <w:bCs/>
        </w:rPr>
        <w:t xml:space="preserve">LSTM/Transformer models: </w:t>
      </w:r>
      <w:r>
        <w:t xml:space="preserve">Train on moisture and pore pressure time series to forecast when thresholds will be crossed.</w:t>
      </w:r>
    </w:p>
    <w:p>
      <w:pPr>
        <w:pStyle w:val="ListParagraph"/>
        <w:numPr>
          <w:ilvl w:val="0"/>
          <w:numId w:val="3"/>
        </w:numPr>
      </w:pPr>
      <w:r>
        <w:rPr>
          <w:b/>
          <w:bCs/>
        </w:rPr>
        <w:t xml:space="preserve">Pre-emptive warnings: </w:t>
      </w:r>
      <w:r>
        <w:t xml:space="preserve">Use forecasts to trigger alerts before thresholds are actually crossed.</w:t>
      </w:r>
    </w:p>
    <w:p>
      <w:pPr>
        <w:pStyle w:val="ListParagraph"/>
        <w:numPr>
          <w:ilvl w:val="0"/>
          <w:numId w:val="3"/>
        </w:numPr>
      </w:pPr>
      <w:r>
        <w:rPr>
          <w:b/>
          <w:bCs/>
        </w:rPr>
        <w:t xml:space="preserve">Infrastructure: </w:t>
      </w:r>
      <w:r>
        <w:t xml:space="preserve">May require SageMaker or dedicated EC2 for training; inference can potentially run in Lambda with ONNX runtime.</w:t>
      </w:r>
    </w:p>
    <w:p>
      <w:pPr>
        <w:pStyle w:val="Heading2"/>
      </w:pPr>
      <w:r>
        <w:t xml:space="preserve">4.3 Exposure and Vulnerability Integration</w:t>
      </w:r>
    </w:p>
    <w:p>
      <w:pPr>
        <w:spacing w:after="100"/>
      </w:pPr>
      <w:r>
        <w:t xml:space="preserve">Incorporate population and infrastructure data to prioritize alerts based on potential impact. Tailor recommended actions to affected communities.</w:t>
      </w:r>
    </w:p>
    <w:p>
      <w:pPr>
        <w:pStyle w:val="ListParagraph"/>
        <w:numPr>
          <w:ilvl w:val="0"/>
          <w:numId w:val="3"/>
        </w:numPr>
      </w:pPr>
      <w:r>
        <w:t xml:space="preserve">Sri Lanka Census population density data</w:t>
      </w:r>
    </w:p>
    <w:p>
      <w:pPr>
        <w:pStyle w:val="ListParagraph"/>
        <w:numPr>
          <w:ilvl w:val="0"/>
          <w:numId w:val="3"/>
        </w:numPr>
      </w:pPr>
      <w:r>
        <w:t xml:space="preserve">Road network datasets for evacuation route assessment</w:t>
      </w:r>
    </w:p>
    <w:p>
      <w:pPr>
        <w:pStyle w:val="ListParagraph"/>
        <w:numPr>
          <w:ilvl w:val="0"/>
          <w:numId w:val="3"/>
        </w:numPr>
      </w:pPr>
      <w:r>
        <w:t xml:space="preserve">Compute exposure index: population × proximity × hazard level</w:t>
      </w:r>
    </w:p>
    <w:p>
      <w:pPr>
        <w:pStyle w:val="Heading2"/>
      </w:pPr>
      <w:r>
        <w:t xml:space="preserve">4.4 Multilingual Alerts and User Interface</w:t>
      </w:r>
    </w:p>
    <w:p>
      <w:pPr>
        <w:pStyle w:val="ListParagraph"/>
        <w:numPr>
          <w:ilvl w:val="0"/>
          <w:numId w:val="3"/>
        </w:numPr>
      </w:pPr>
      <w:r>
        <w:rPr>
          <w:b/>
          <w:bCs/>
        </w:rPr>
        <w:t xml:space="preserve">Sinhala/Tamil narrative generation: </w:t>
      </w:r>
      <w:r>
        <w:t xml:space="preserve">Extend LLM prompt or use translation layer for community alerts.</w:t>
      </w:r>
    </w:p>
    <w:p>
      <w:pPr>
        <w:pStyle w:val="ListParagraph"/>
        <w:numPr>
          <w:ilvl w:val="0"/>
          <w:numId w:val="3"/>
        </w:numPr>
      </w:pPr>
      <w:r>
        <w:rPr>
          <w:b/>
          <w:bCs/>
        </w:rPr>
        <w:t xml:space="preserve">Voice alerts: </w:t>
      </w:r>
      <w:r>
        <w:t xml:space="preserve">Text-to-speech for accessibility in rural areas.</w:t>
      </w:r>
    </w:p>
    <w:p>
      <w:pPr>
        <w:pStyle w:val="ListParagraph"/>
        <w:numPr>
          <w:ilvl w:val="0"/>
          <w:numId w:val="3"/>
        </w:numPr>
      </w:pPr>
      <w:r>
        <w:rPr>
          <w:b/>
          <w:bCs/>
        </w:rPr>
        <w:t xml:space="preserve">Operator dashboard: </w:t>
      </w:r>
      <w:r>
        <w:t xml:space="preserve">React-based interface for alert review, sensor status visualization, and feedback submission.</w:t>
      </w:r>
    </w:p>
    <w:p>
      <w:pPr>
        <w:pStyle w:val="Heading2"/>
      </w:pPr>
      <w:r>
        <w:t xml:space="preserve">4.5 Operator Feedback Loops and Continual Learning</w:t>
      </w:r>
    </w:p>
    <w:p>
      <w:pPr>
        <w:pStyle w:val="ListParagraph"/>
        <w:numPr>
          <w:ilvl w:val="0"/>
          <w:numId w:val="3"/>
        </w:numPr>
      </w:pPr>
      <w:r>
        <w:t xml:space="preserve">Dashboard interface where operators accept, modify, or dismiss alerts</w:t>
      </w:r>
    </w:p>
    <w:p>
      <w:pPr>
        <w:pStyle w:val="ListParagraph"/>
        <w:numPr>
          <w:ilvl w:val="0"/>
          <w:numId w:val="3"/>
        </w:numPr>
      </w:pPr>
      <w:r>
        <w:t xml:space="preserve">Store feedback annotations (true positive, false positive, false negative)</w:t>
      </w:r>
    </w:p>
    <w:p>
      <w:pPr>
        <w:pStyle w:val="ListParagraph"/>
        <w:numPr>
          <w:ilvl w:val="0"/>
          <w:numId w:val="3"/>
        </w:numPr>
      </w:pPr>
      <w:r>
        <w:t xml:space="preserve">Use feedback to update thresholds, retrain anomaly detectors, and fine-tune LLM prompts</w:t>
      </w:r>
    </w:p>
    <w:p>
      <w:pPr>
        <w:pStyle w:val="ListParagraph"/>
        <w:numPr>
          <w:ilvl w:val="0"/>
          <w:numId w:val="3"/>
        </w:numPr>
      </w:pPr>
      <w:r>
        <w:t xml:space="preserve">Periodic review cycle: monthly threshold calibration based on feedback data</w:t>
      </w:r>
    </w:p>
    <w:p>
      <w:pPr>
        <w:pStyle w:val="Heading2"/>
      </w:pPr>
      <w:r>
        <w:t xml:space="preserve">4.6 LLM Fine-Tuning for Risk Narratives</w:t>
      </w:r>
    </w:p>
    <w:p>
      <w:pPr>
        <w:pStyle w:val="Heading3"/>
      </w:pPr>
      <w:r>
        <w:t xml:space="preserve">Rationale</w:t>
      </w:r>
    </w:p>
    <w:p>
      <w:pPr>
        <w:spacing w:after="100"/>
      </w:pPr>
      <w:r>
        <w:t xml:space="preserve">The evidence-citation schema ensures structured outputs, but general-purpose LLMs may produce inconsistent phrasing, overly confident predictions, or culturally inappropriate recommendations. Fine-tuning on annotated landslide risk narratives will improve consistency and safety.</w:t>
      </w:r>
    </w:p>
    <w:p>
      <w:pPr>
        <w:pStyle w:val="Heading3"/>
      </w:pPr>
      <w:r>
        <w:t xml:space="preserve">Prerequisites</w:t>
      </w:r>
    </w:p>
    <w:p>
      <w:pPr>
        <w:pStyle w:val="ListParagraph"/>
        <w:numPr>
          <w:ilvl w:val="0"/>
          <w:numId w:val="3"/>
        </w:numPr>
      </w:pPr>
      <w:r>
        <w:rPr>
          <w:b/>
          <w:bCs/>
        </w:rPr>
        <w:t xml:space="preserve">Data accumulation: </w:t>
      </w:r>
      <w:r>
        <w:t xml:space="preserve">Minimum 500 annotated risk assessments from operator feedback (estimated 2-3 monsoon seasons)</w:t>
      </w:r>
    </w:p>
    <w:p>
      <w:pPr>
        <w:pStyle w:val="ListParagraph"/>
        <w:numPr>
          <w:ilvl w:val="0"/>
          <w:numId w:val="3"/>
        </w:numPr>
      </w:pPr>
      <w:r>
        <w:rPr>
          <w:b/>
          <w:bCs/>
        </w:rPr>
        <w:t xml:space="preserve">Quality annotations: </w:t>
      </w:r>
      <w:r>
        <w:t xml:space="preserve">Each assessment rated for accuracy, appropriate conservatism, and clarity</w:t>
      </w:r>
    </w:p>
    <w:p>
      <w:pPr>
        <w:pStyle w:val="ListParagraph"/>
        <w:numPr>
          <w:ilvl w:val="0"/>
          <w:numId w:val="3"/>
        </w:numPr>
      </w:pPr>
      <w:r>
        <w:rPr>
          <w:b/>
          <w:bCs/>
        </w:rPr>
        <w:t xml:space="preserve">Multilingual corpus: </w:t>
      </w:r>
      <w:r>
        <w:t xml:space="preserve">Parallel English/Sinhala/Tamil narratives for consistent translation quality</w:t>
      </w:r>
    </w:p>
    <w:p>
      <w:pPr>
        <w:pStyle w:val="Heading3"/>
      </w:pPr>
      <w:r>
        <w:t xml:space="preserve">Implementation</w:t>
      </w:r>
    </w:p>
    <w:p>
      <w:pPr>
        <w:pStyle w:val="ListParagraph"/>
        <w:numPr>
          <w:ilvl w:val="0"/>
          <w:numId w:val="3"/>
        </w:numPr>
      </w:pPr>
      <w:r>
        <w:rPr>
          <w:b/>
          <w:bCs/>
        </w:rPr>
        <w:t xml:space="preserve">Fine-tuning approach: </w:t>
      </w:r>
      <w:r>
        <w:t xml:space="preserve">Use Claude fine-tuning API or open-source model (Llama) with LoRA adapters</w:t>
      </w:r>
    </w:p>
    <w:p>
      <w:pPr>
        <w:pStyle w:val="ListParagraph"/>
        <w:numPr>
          <w:ilvl w:val="0"/>
          <w:numId w:val="3"/>
        </w:numPr>
      </w:pPr>
      <w:r>
        <w:rPr>
          <w:b/>
          <w:bCs/>
        </w:rPr>
        <w:t xml:space="preserve">Training objectives: </w:t>
      </w:r>
    </w:p>
    <w:p>
      <w:pPr>
        <w:pStyle w:val="ListParagraph"/>
        <w:numPr>
          <w:ilvl w:val="0"/>
          <w:numId w:val="4"/>
        </w:numPr>
      </w:pPr>
      <w:r>
        <w:t xml:space="preserve">Conservative recommendations (err on side of caution)</w:t>
      </w:r>
    </w:p>
    <w:p>
      <w:pPr>
        <w:pStyle w:val="ListParagraph"/>
        <w:numPr>
          <w:ilvl w:val="0"/>
          <w:numId w:val="4"/>
        </w:numPr>
      </w:pPr>
      <w:r>
        <w:t xml:space="preserve">Consistent phrasing across similar risk levels</w:t>
      </w:r>
    </w:p>
    <w:p>
      <w:pPr>
        <w:pStyle w:val="ListParagraph"/>
        <w:numPr>
          <w:ilvl w:val="0"/>
          <w:numId w:val="4"/>
        </w:numPr>
      </w:pPr>
      <w:r>
        <w:t xml:space="preserve">Culturally appropriate language for Sri Lankan communities</w:t>
      </w:r>
    </w:p>
    <w:p>
      <w:pPr>
        <w:pStyle w:val="ListParagraph"/>
        <w:numPr>
          <w:ilvl w:val="0"/>
          <w:numId w:val="4"/>
        </w:numPr>
      </w:pPr>
      <w:r>
        <w:t xml:space="preserve">Accurate time-to-failure uncertainty quantification</w:t>
      </w:r>
    </w:p>
    <w:p>
      <w:pPr>
        <w:pStyle w:val="ListParagraph"/>
        <w:numPr>
          <w:ilvl w:val="0"/>
          <w:numId w:val="3"/>
        </w:numPr>
      </w:pPr>
      <w:r>
        <w:rPr>
          <w:b/>
          <w:bCs/>
        </w:rPr>
        <w:t xml:space="preserve">Evaluation: </w:t>
      </w:r>
      <w:r>
        <w:t xml:space="preserve">A/B testing between base model and fine-tuned model on held-out scenarios</w:t>
      </w:r>
    </w:p>
    <w:p>
      <w:pPr>
        <w:pStyle w:val="ListParagraph"/>
        <w:numPr>
          <w:ilvl w:val="0"/>
          <w:numId w:val="3"/>
        </w:numPr>
      </w:pPr>
      <w:r>
        <w:rPr>
          <w:b/>
          <w:bCs/>
        </w:rPr>
        <w:t xml:space="preserve">Safety checks: </w:t>
      </w:r>
      <w:r>
        <w:t xml:space="preserve">Ensure fine-tuned model doesn't produce overconfident or dismissive outputs</w:t>
      </w:r>
    </w:p>
    <w:p>
      <w:pPr>
        <w:pStyle w:val="Heading3"/>
      </w:pPr>
      <w:r>
        <w:t xml:space="preserve">Success Criteria</w:t>
      </w:r>
    </w:p>
    <w:p>
      <w:pPr>
        <w:pStyle w:val="ListParagraph"/>
        <w:numPr>
          <w:ilvl w:val="0"/>
          <w:numId w:val="3"/>
        </w:numPr>
      </w:pPr>
      <w:r>
        <w:t xml:space="preserve">Operator approval rating ≥85% for fine-tuned narratives (vs. baseline)</w:t>
      </w:r>
    </w:p>
    <w:p>
      <w:pPr>
        <w:pStyle w:val="ListParagraph"/>
        <w:numPr>
          <w:ilvl w:val="0"/>
          <w:numId w:val="3"/>
        </w:numPr>
      </w:pPr>
      <w:r>
        <w:t xml:space="preserve">Phrasing consistency score ≥90% across similar scenarios</w:t>
      </w:r>
    </w:p>
    <w:p>
      <w:pPr>
        <w:pStyle w:val="ListParagraph"/>
        <w:numPr>
          <w:ilvl w:val="0"/>
          <w:numId w:val="3"/>
        </w:numPr>
      </w:pPr>
      <w:r>
        <w:t xml:space="preserve">Zero instances of dangerously overconfident predictions in evaluation set</w:t>
      </w:r>
    </w:p>
    <w:p>
      <w:pPr>
        <w:spacing w:before="15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Pr>
          <w:p>
            <w:pPr>
              <w:spacing w:before="100" w:after="50"/>
            </w:pPr>
            <w:r>
              <w:rPr>
                <w:b/>
                <w:bCs/>
                <w:color w:val="276749"/>
              </w:rPr>
              <w:t xml:space="preserve">📦 Deliverables:</w:t>
            </w:r>
          </w:p>
          <w:p>
            <w:pPr>
              <w:spacing w:after="50"/>
            </w:pPr>
            <w:r>
              <w:rPr>
                <w:sz w:val="20"/>
                <w:szCs w:val="20"/>
              </w:rPr>
              <w:t xml:space="preserve">• Training data pipeline from operator feedback</w:t>
            </w:r>
          </w:p>
          <w:p>
            <w:pPr>
              <w:spacing w:after="50"/>
            </w:pPr>
            <w:r>
              <w:rPr>
                <w:sz w:val="20"/>
                <w:szCs w:val="20"/>
              </w:rPr>
              <w:t xml:space="preserve">• Fine-tuning script and configuration</w:t>
            </w:r>
          </w:p>
          <w:p>
            <w:pPr>
              <w:spacing w:after="50"/>
            </w:pPr>
            <w:r>
              <w:rPr>
                <w:sz w:val="20"/>
                <w:szCs w:val="20"/>
              </w:rPr>
              <w:t xml:space="preserve">• Evaluation framework with safety checks</w:t>
            </w:r>
          </w:p>
          <w:p>
            <w:pPr>
              <w:spacing w:after="50"/>
            </w:pPr>
            <w:r>
              <w:rPr>
                <w:sz w:val="20"/>
                <w:szCs w:val="20"/>
              </w:rPr>
              <w:t xml:space="preserve">• A/B testing infrastructure</w:t>
            </w:r>
          </w:p>
          <w:p>
            <w:pPr>
              <w:spacing w:after="50"/>
            </w:pPr>
            <w:r>
              <w:rPr>
                <w:sz w:val="20"/>
                <w:szCs w:val="20"/>
              </w:rPr>
              <w:t xml:space="preserve">• Model versioning and rollback capability</w:t>
            </w:r>
          </w:p>
        </w:tc>
      </w:tr>
    </w:tbl>
    <w:p>
      <w:r>
        <w:br w:type="page"/>
      </w:r>
    </w:p>
    <w:p>
      <w:pPr>
        <w:pStyle w:val="Heading1"/>
      </w:pPr>
      <w:r>
        <w:t xml:space="preserve">Ongoing Activities</w:t>
      </w:r>
    </w:p>
    <w:p>
      <w:pPr>
        <w:spacing w:after="200"/>
      </w:pPr>
      <w:r>
        <w:t xml:space="preserve">These activities run continuously throughout all phases and are not tied to specific deliverables.</w:t>
      </w:r>
    </w:p>
    <w:p>
      <w:pPr>
        <w:pStyle w:val="Heading2"/>
      </w:pPr>
      <w:r>
        <w:t xml:space="preserve">Review Cadence</w:t>
      </w:r>
    </w:p>
    <w:p>
      <w:pPr>
        <w:spacing w:after="100"/>
      </w:pPr>
      <w:r>
        <w:t xml:space="preserve">A defined review schedule ensures stakeholders remain aligned and the system continuously improves based on operational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2c5282" w:val="clear"/>
          </w:tcPr>
          <w:p>
            <w:pPr>
              <w:jc w:val="center"/>
            </w:pPr>
            <w:r>
              <w:rPr>
                <w:b/>
                <w:bCs/>
                <w:color w:val="FFFFFF"/>
                <w:sz w:val="20"/>
                <w:szCs w:val="20"/>
              </w:rPr>
              <w:t xml:space="preserve">Review Type</w:t>
            </w:r>
          </w:p>
        </w:tc>
        <w:tc>
          <w:tcPr>
            <w:tcW w:type="dxa" w:w="3000"/>
            <w:tcBorders>
              <w:top w:val="single" w:color="CCCCCC" w:sz="1"/>
              <w:left w:val="single" w:color="CCCCCC" w:sz="1"/>
              <w:bottom w:val="single" w:color="CCCCCC" w:sz="1"/>
              <w:right w:val="single" w:color="CCCCCC" w:sz="1"/>
            </w:tcBorders>
            <w:shd w:fill="2c5282" w:val="clear"/>
          </w:tcPr>
          <w:p>
            <w:pPr>
              <w:jc w:val="center"/>
            </w:pPr>
            <w:r>
              <w:rPr>
                <w:b/>
                <w:bCs/>
                <w:color w:val="FFFFFF"/>
                <w:sz w:val="20"/>
                <w:szCs w:val="20"/>
              </w:rPr>
              <w:t xml:space="preserve">Timing</w:t>
            </w:r>
          </w:p>
        </w:tc>
        <w:tc>
          <w:tcPr>
            <w:tcW w:type="dxa" w:w="4160"/>
            <w:tcBorders>
              <w:top w:val="single" w:color="CCCCCC" w:sz="1"/>
              <w:left w:val="single" w:color="CCCCCC" w:sz="1"/>
              <w:bottom w:val="single" w:color="CCCCCC" w:sz="1"/>
              <w:right w:val="single" w:color="CCCCCC" w:sz="1"/>
            </w:tcBorders>
            <w:shd w:fill="2c5282" w:val="clear"/>
          </w:tcPr>
          <w:p>
            <w:pPr>
              <w:jc w:val="center"/>
            </w:pPr>
            <w:r>
              <w:rPr>
                <w:b/>
                <w:bCs/>
                <w:color w:val="FFFFFF"/>
                <w:sz w:val="20"/>
                <w:szCs w:val="20"/>
              </w:rPr>
              <w:t xml:space="preserve">Focus Areas</w:t>
            </w:r>
          </w:p>
        </w:tc>
      </w:tr>
      <w:tr>
        <w:tc>
          <w:tcPr>
            <w:tcBorders>
              <w:top w:val="single" w:color="CCCCCC" w:sz="1"/>
              <w:left w:val="single" w:color="CCCCCC" w:sz="1"/>
              <w:bottom w:val="single" w:color="CCCCCC" w:sz="1"/>
              <w:right w:val="single" w:color="CCCCCC" w:sz="1"/>
            </w:tcBorders>
          </w:tcPr>
          <w:p>
            <w:r>
              <w:rPr>
                <w:b/>
                <w:bCs/>
                <w:sz w:val="20"/>
                <w:szCs w:val="20"/>
              </w:rPr>
              <w:t xml:space="preserve">Weekly Operational</w:t>
            </w:r>
          </w:p>
        </w:tc>
        <w:tc>
          <w:tcPr>
            <w:tcBorders>
              <w:top w:val="single" w:color="CCCCCC" w:sz="1"/>
              <w:left w:val="single" w:color="CCCCCC" w:sz="1"/>
              <w:bottom w:val="single" w:color="CCCCCC" w:sz="1"/>
              <w:right w:val="single" w:color="CCCCCC" w:sz="1"/>
            </w:tcBorders>
          </w:tcPr>
          <w:p>
            <w:r>
              <w:rPr>
                <w:sz w:val="20"/>
                <w:szCs w:val="20"/>
              </w:rPr>
              <w:t xml:space="preserve">Every Monday (monsoon season)</w:t>
            </w:r>
          </w:p>
        </w:tc>
        <w:tc>
          <w:tcPr>
            <w:tcBorders>
              <w:top w:val="single" w:color="CCCCCC" w:sz="1"/>
              <w:left w:val="single" w:color="CCCCCC" w:sz="1"/>
              <w:bottom w:val="single" w:color="CCCCCC" w:sz="1"/>
              <w:right w:val="single" w:color="CCCCCC" w:sz="1"/>
            </w:tcBorders>
          </w:tcPr>
          <w:p>
            <w:r>
              <w:rPr>
                <w:sz w:val="20"/>
                <w:szCs w:val="20"/>
              </w:rPr>
              <w:t xml:space="preserve">Alert outcomes, sensor health, system uptime</w:t>
            </w:r>
          </w:p>
        </w:tc>
      </w:tr>
      <w:tr>
        <w:tc>
          <w:tcPr>
            <w:tcBorders>
              <w:top w:val="single" w:color="CCCCCC" w:sz="1"/>
              <w:left w:val="single" w:color="CCCCCC" w:sz="1"/>
              <w:bottom w:val="single" w:color="CCCCCC" w:sz="1"/>
              <w:right w:val="single" w:color="CCCCCC" w:sz="1"/>
            </w:tcBorders>
          </w:tcPr>
          <w:p>
            <w:r>
              <w:rPr>
                <w:b/>
                <w:bCs/>
                <w:sz w:val="20"/>
                <w:szCs w:val="20"/>
              </w:rPr>
              <w:t xml:space="preserve">Monthly Technical</w:t>
            </w:r>
          </w:p>
        </w:tc>
        <w:tc>
          <w:tcPr>
            <w:tcBorders>
              <w:top w:val="single" w:color="CCCCCC" w:sz="1"/>
              <w:left w:val="single" w:color="CCCCCC" w:sz="1"/>
              <w:bottom w:val="single" w:color="CCCCCC" w:sz="1"/>
              <w:right w:val="single" w:color="CCCCCC" w:sz="1"/>
            </w:tcBorders>
          </w:tcPr>
          <w:p>
            <w:r>
              <w:rPr>
                <w:sz w:val="20"/>
                <w:szCs w:val="20"/>
              </w:rPr>
              <w:t xml:space="preserve">First week of each month</w:t>
            </w:r>
          </w:p>
        </w:tc>
        <w:tc>
          <w:tcPr>
            <w:tcBorders>
              <w:top w:val="single" w:color="CCCCCC" w:sz="1"/>
              <w:left w:val="single" w:color="CCCCCC" w:sz="1"/>
              <w:bottom w:val="single" w:color="CCCCCC" w:sz="1"/>
              <w:right w:val="single" w:color="CCCCCC" w:sz="1"/>
            </w:tcBorders>
          </w:tcPr>
          <w:p>
            <w:r>
              <w:rPr>
                <w:sz w:val="20"/>
                <w:szCs w:val="20"/>
              </w:rPr>
              <w:t xml:space="preserve">Threshold calibration, FP/FN analysis, model drift</w:t>
            </w:r>
          </w:p>
        </w:tc>
      </w:tr>
      <w:tr>
        <w:tc>
          <w:tcPr>
            <w:tcBorders>
              <w:top w:val="single" w:color="CCCCCC" w:sz="1"/>
              <w:left w:val="single" w:color="CCCCCC" w:sz="1"/>
              <w:bottom w:val="single" w:color="CCCCCC" w:sz="1"/>
              <w:right w:val="single" w:color="CCCCCC" w:sz="1"/>
            </w:tcBorders>
          </w:tcPr>
          <w:p>
            <w:r>
              <w:rPr>
                <w:b/>
                <w:bCs/>
                <w:sz w:val="20"/>
                <w:szCs w:val="20"/>
              </w:rPr>
              <w:t xml:space="preserve">Quarterly Retrospective</w:t>
            </w:r>
          </w:p>
        </w:tc>
        <w:tc>
          <w:tcPr>
            <w:tcBorders>
              <w:top w:val="single" w:color="CCCCCC" w:sz="1"/>
              <w:left w:val="single" w:color="CCCCCC" w:sz="1"/>
              <w:bottom w:val="single" w:color="CCCCCC" w:sz="1"/>
              <w:right w:val="single" w:color="CCCCCC" w:sz="1"/>
            </w:tcBorders>
          </w:tcPr>
          <w:p>
            <w:r>
              <w:rPr>
                <w:sz w:val="20"/>
                <w:szCs w:val="20"/>
              </w:rPr>
              <w:t xml:space="preserve">Post-monsoon (Jan, Jun)</w:t>
            </w:r>
          </w:p>
        </w:tc>
        <w:tc>
          <w:tcPr>
            <w:tcBorders>
              <w:top w:val="single" w:color="CCCCCC" w:sz="1"/>
              <w:left w:val="single" w:color="CCCCCC" w:sz="1"/>
              <w:bottom w:val="single" w:color="CCCCCC" w:sz="1"/>
              <w:right w:val="single" w:color="CCCCCC" w:sz="1"/>
            </w:tcBorders>
          </w:tcPr>
          <w:p>
            <w:r>
              <w:rPr>
                <w:sz w:val="20"/>
                <w:szCs w:val="20"/>
              </w:rPr>
              <w:t xml:space="preserve">Season performance, roadmap progress, stakeholder feedback</w:t>
            </w:r>
          </w:p>
        </w:tc>
      </w:tr>
      <w:tr>
        <w:tc>
          <w:tcPr>
            <w:tcBorders>
              <w:top w:val="single" w:color="CCCCCC" w:sz="1"/>
              <w:left w:val="single" w:color="CCCCCC" w:sz="1"/>
              <w:bottom w:val="single" w:color="CCCCCC" w:sz="1"/>
              <w:right w:val="single" w:color="CCCCCC" w:sz="1"/>
            </w:tcBorders>
          </w:tcPr>
          <w:p>
            <w:r>
              <w:rPr>
                <w:b/>
                <w:bCs/>
                <w:sz w:val="20"/>
                <w:szCs w:val="20"/>
              </w:rPr>
              <w:t xml:space="preserve">Annual Strategic</w:t>
            </w:r>
          </w:p>
        </w:tc>
        <w:tc>
          <w:tcPr>
            <w:tcBorders>
              <w:top w:val="single" w:color="CCCCCC" w:sz="1"/>
              <w:left w:val="single" w:color="CCCCCC" w:sz="1"/>
              <w:bottom w:val="single" w:color="CCCCCC" w:sz="1"/>
              <w:right w:val="single" w:color="CCCCCC" w:sz="1"/>
            </w:tcBorders>
          </w:tcPr>
          <w:p>
            <w:r>
              <w:rPr>
                <w:sz w:val="20"/>
                <w:szCs w:val="20"/>
              </w:rPr>
              <w:t xml:space="preserve">December (pre-NE monsoon)</w:t>
            </w:r>
          </w:p>
        </w:tc>
        <w:tc>
          <w:tcPr>
            <w:tcBorders>
              <w:top w:val="single" w:color="CCCCCC" w:sz="1"/>
              <w:left w:val="single" w:color="CCCCCC" w:sz="1"/>
              <w:bottom w:val="single" w:color="CCCCCC" w:sz="1"/>
              <w:right w:val="single" w:color="CCCCCC" w:sz="1"/>
            </w:tcBorders>
          </w:tcPr>
          <w:p>
            <w:r>
              <w:rPr>
                <w:sz w:val="20"/>
                <w:szCs w:val="20"/>
              </w:rPr>
              <w:t xml:space="preserve">Roadmap update, NBRO collaboration, funding review</w:t>
            </w:r>
          </w:p>
        </w:tc>
      </w:tr>
    </w:tbl>
    <w:p>
      <w:pPr>
        <w:pStyle w:val="Heading3"/>
        <w:spacing w:before="200"/>
      </w:pPr>
      <w:r>
        <w:t xml:space="preserve">Quarterly Post-Monsoon Retrospective Agenda</w:t>
      </w:r>
    </w:p>
    <w:p>
      <w:pPr>
        <w:pStyle w:val="ListParagraph"/>
        <w:numPr>
          <w:ilvl w:val="0"/>
          <w:numId w:val="3"/>
        </w:numPr>
      </w:pPr>
      <w:r>
        <w:rPr>
          <w:b/>
          <w:bCs/>
        </w:rPr>
        <w:t xml:space="preserve">Performance review: </w:t>
      </w:r>
      <w:r>
        <w:t xml:space="preserve">Compare actual FP/FN rates against targets; analyze any missed events</w:t>
      </w:r>
    </w:p>
    <w:p>
      <w:pPr>
        <w:pStyle w:val="ListParagraph"/>
        <w:numPr>
          <w:ilvl w:val="0"/>
          <w:numId w:val="3"/>
        </w:numPr>
      </w:pPr>
      <w:r>
        <w:rPr>
          <w:b/>
          <w:bCs/>
        </w:rPr>
        <w:t xml:space="preserve">Threshold recalibration: </w:t>
      </w:r>
      <w:r>
        <w:t xml:space="preserve">Adjust thresholds based on accumulated feedback data</w:t>
      </w:r>
    </w:p>
    <w:p>
      <w:pPr>
        <w:pStyle w:val="ListParagraph"/>
        <w:numPr>
          <w:ilvl w:val="0"/>
          <w:numId w:val="3"/>
        </w:numPr>
      </w:pPr>
      <w:r>
        <w:rPr>
          <w:b/>
          <w:bCs/>
        </w:rPr>
        <w:t xml:space="preserve">Model evaluation: </w:t>
      </w:r>
      <w:r>
        <w:t xml:space="preserve">Assess anomaly detector and trend analyzer performance</w:t>
      </w:r>
    </w:p>
    <w:p>
      <w:pPr>
        <w:pStyle w:val="ListParagraph"/>
        <w:numPr>
          <w:ilvl w:val="0"/>
          <w:numId w:val="3"/>
        </w:numPr>
      </w:pPr>
      <w:r>
        <w:rPr>
          <w:b/>
          <w:bCs/>
        </w:rPr>
        <w:t xml:space="preserve">Roadmap checkpoint: </w:t>
      </w:r>
      <w:r>
        <w:t xml:space="preserve">Review progress against phase targets; reprioritize if needed</w:t>
      </w:r>
    </w:p>
    <w:p>
      <w:pPr>
        <w:pStyle w:val="ListParagraph"/>
        <w:numPr>
          <w:ilvl w:val="0"/>
          <w:numId w:val="3"/>
        </w:numPr>
      </w:pPr>
      <w:r>
        <w:rPr>
          <w:b/>
          <w:bCs/>
        </w:rPr>
        <w:t xml:space="preserve">Stakeholder alignment: </w:t>
      </w:r>
      <w:r>
        <w:t xml:space="preserve">Present findings to NBRO; gather operational feedback</w:t>
      </w:r>
    </w:p>
    <w:p>
      <w:pPr>
        <w:pStyle w:val="ListParagraph"/>
        <w:numPr>
          <w:ilvl w:val="0"/>
          <w:numId w:val="3"/>
        </w:numPr>
      </w:pPr>
      <w:r>
        <w:rPr>
          <w:b/>
          <w:bCs/>
        </w:rPr>
        <w:t xml:space="preserve">Documentation: </w:t>
      </w:r>
      <w:r>
        <w:t xml:space="preserve">Update ADRs for any parameter changes; archive retrospective report</w:t>
      </w:r>
    </w:p>
    <w:p>
      <w:pPr>
        <w:pStyle w:val="Heading2"/>
      </w:pPr>
      <w:r>
        <w:t xml:space="preserve">Data Governance and Evaluation</w:t>
      </w:r>
    </w:p>
    <w:p>
      <w:pPr>
        <w:pStyle w:val="ListParagraph"/>
        <w:numPr>
          <w:ilvl w:val="0"/>
          <w:numId w:val="3"/>
        </w:numPr>
      </w:pPr>
      <w:r>
        <w:rPr>
          <w:b/>
          <w:bCs/>
        </w:rPr>
        <w:t xml:space="preserve">Performance metrics: </w:t>
      </w:r>
      <w:r>
        <w:t xml:space="preserve">Track metrics defined in Success Metrics section; maintain dashboard for visibility.</w:t>
      </w:r>
    </w:p>
    <w:p>
      <w:pPr>
        <w:pStyle w:val="ListParagraph"/>
        <w:numPr>
          <w:ilvl w:val="0"/>
          <w:numId w:val="3"/>
        </w:numPr>
      </w:pPr>
      <w:r>
        <w:rPr>
          <w:b/>
          <w:bCs/>
        </w:rPr>
        <w:t xml:space="preserve">Evaluation datasets: </w:t>
      </w:r>
      <w:r>
        <w:t xml:space="preserve">Maintain separate training/validation/test splits for anomaly detectors; never train on test data.</w:t>
      </w:r>
    </w:p>
    <w:p>
      <w:pPr>
        <w:pStyle w:val="ListParagraph"/>
        <w:numPr>
          <w:ilvl w:val="0"/>
          <w:numId w:val="3"/>
        </w:numPr>
      </w:pPr>
      <w:r>
        <w:rPr>
          <w:b/>
          <w:bCs/>
        </w:rPr>
        <w:t xml:space="preserve">ADR documentation: </w:t>
      </w:r>
      <w:r>
        <w:t xml:space="preserve">Record all changes to weights, thresholds, or model parameters in Architectural Decision Records with rationale and expected impact.</w:t>
      </w:r>
    </w:p>
    <w:p>
      <w:pPr>
        <w:pStyle w:val="ListParagraph"/>
        <w:numPr>
          <w:ilvl w:val="0"/>
          <w:numId w:val="3"/>
        </w:numPr>
      </w:pPr>
      <w:r>
        <w:rPr>
          <w:b/>
          <w:bCs/>
        </w:rPr>
        <w:t xml:space="preserve">Version control: </w:t>
      </w:r>
      <w:r>
        <w:t xml:space="preserve">Tag model versions; maintain rollback capability for all production changes.</w:t>
      </w:r>
    </w:p>
    <w:p>
      <w:pPr>
        <w:pStyle w:val="Heading2"/>
      </w:pPr>
      <w:r>
        <w:t xml:space="preserve">Collaboration and Data Acquisition</w:t>
      </w:r>
    </w:p>
    <w:p>
      <w:pPr>
        <w:pStyle w:val="ListParagraph"/>
        <w:numPr>
          <w:ilvl w:val="0"/>
          <w:numId w:val="3"/>
        </w:numPr>
      </w:pPr>
      <w:r>
        <w:t xml:space="preserve">Engage with NBRO for hazard factor data, historical landslide records, and technical validation</w:t>
      </w:r>
    </w:p>
    <w:p>
      <w:pPr>
        <w:pStyle w:val="ListParagraph"/>
        <w:numPr>
          <w:ilvl w:val="0"/>
          <w:numId w:val="3"/>
        </w:numPr>
      </w:pPr>
      <w:r>
        <w:t xml:space="preserve">Coordinate with Disaster Management Centre for operational requirements</w:t>
      </w:r>
    </w:p>
    <w:p>
      <w:pPr>
        <w:pStyle w:val="ListParagraph"/>
        <w:numPr>
          <w:ilvl w:val="0"/>
          <w:numId w:val="3"/>
        </w:numPr>
      </w:pPr>
      <w:r>
        <w:t xml:space="preserve">Engage with Department of Meteorology for weather forecast API access</w:t>
      </w:r>
    </w:p>
    <w:p>
      <w:pPr>
        <w:pStyle w:val="ListParagraph"/>
        <w:numPr>
          <w:ilvl w:val="0"/>
          <w:numId w:val="3"/>
        </w:numPr>
      </w:pPr>
      <w:r>
        <w:t xml:space="preserve">Ensure data sharing agreements address privacy and ethical considerations</w:t>
      </w:r>
    </w:p>
    <w:p>
      <w:pPr>
        <w:pStyle w:val="Heading2"/>
      </w:pPr>
      <w:r>
        <w:t xml:space="preserve">Resource Planning</w:t>
      </w:r>
    </w:p>
    <w:p>
      <w:pPr>
        <w:pStyle w:val="ListParagraph"/>
        <w:numPr>
          <w:ilvl w:val="0"/>
          <w:numId w:val="3"/>
        </w:numPr>
      </w:pPr>
      <w:r>
        <w:rPr>
          <w:b/>
          <w:bCs/>
        </w:rPr>
        <w:t xml:space="preserve">AWS cost monitoring: </w:t>
      </w:r>
      <w:r>
        <w:t xml:space="preserve">Target monthly cost: 20-40 AUD. Weather API calls add ~5 AUD/month.</w:t>
      </w:r>
    </w:p>
    <w:p>
      <w:pPr>
        <w:pStyle w:val="ListParagraph"/>
        <w:numPr>
          <w:ilvl w:val="0"/>
          <w:numId w:val="3"/>
        </w:numPr>
      </w:pPr>
      <w:r>
        <w:rPr>
          <w:b/>
          <w:bCs/>
        </w:rPr>
        <w:t xml:space="preserve">Scaling considerations: </w:t>
      </w:r>
      <w:r>
        <w:t xml:space="preserve">Advanced ML models (LSTM/Transformer) may require SageMaker or dedicated compute (~50-100 AUD/month additional).</w:t>
      </w:r>
    </w:p>
    <w:p>
      <w:pPr>
        <w:pStyle w:val="ListParagraph"/>
        <w:numPr>
          <w:ilvl w:val="0"/>
          <w:numId w:val="3"/>
        </w:numPr>
      </w:pPr>
      <w:r>
        <w:rPr>
          <w:b/>
          <w:bCs/>
        </w:rPr>
        <w:t xml:space="preserve">Budget alerts: </w:t>
      </w:r>
      <w:r>
        <w:t xml:space="preserve">AWS Budgets configured to alert at 50%, 80%, and 100% of monthly target.</w:t>
      </w:r>
    </w:p>
    <w:p>
      <w:pPr>
        <w:pStyle w:val="ListParagraph"/>
        <w:numPr>
          <w:ilvl w:val="0"/>
          <w:numId w:val="3"/>
        </w:numPr>
      </w:pPr>
      <w:r>
        <w:rPr>
          <w:b/>
          <w:bCs/>
        </w:rPr>
        <w:t xml:space="preserve">LLM fine-tuning costs: </w:t>
      </w:r>
      <w:r>
        <w:t xml:space="preserve">Budget separately; estimate 100-500 AUD one-time for fine-tuning job.</w:t>
      </w:r>
    </w:p>
    <w:p>
      <w:pPr>
        <w:pStyle w:val="Heading1"/>
      </w:pPr>
      <w:r>
        <w:t xml:space="preserve">Conclusion</w:t>
      </w:r>
    </w:p>
    <w:p>
      <w:pPr>
        <w:spacing w:after="200"/>
      </w:pPr>
      <w:r>
        <w:t xml:space="preserve">This roadmap synthesizes the third-party review and internal expert analysis into a phased plan that strengthens all three layers of the neuro-symbolic architecture:</w:t>
      </w:r>
    </w:p>
    <w:p>
      <w:pPr>
        <w:pStyle w:val="ListParagraph"/>
        <w:numPr>
          <w:ilvl w:val="0"/>
          <w:numId w:val="3"/>
        </w:numPr>
      </w:pPr>
      <w:r>
        <w:rPr>
          <w:b/>
          <w:bCs/>
        </w:rPr>
        <w:t xml:space="preserve">Perception layer: </w:t>
      </w:r>
      <w:r>
        <w:t xml:space="preserve">Trend features, sensor health monitoring, rainfall forecasting, negative pore pressure handling, unsupervised anomaly detection, inverse velocity prediction</w:t>
      </w:r>
    </w:p>
    <w:p>
      <w:pPr>
        <w:pStyle w:val="ListParagraph"/>
        <w:numPr>
          <w:ilvl w:val="0"/>
          <w:numId w:val="3"/>
        </w:numPr>
      </w:pPr>
      <w:r>
        <w:rPr>
          <w:b/>
          <w:bCs/>
        </w:rPr>
        <w:t xml:space="preserve">Symbolic layer: </w:t>
      </w:r>
      <w:r>
        <w:t xml:space="preserve">Cross-modal rules, dynamic thresholds and weights, NBRO hazard factor weighting</w:t>
      </w:r>
    </w:p>
    <w:p>
      <w:pPr>
        <w:pStyle w:val="ListParagraph"/>
        <w:numPr>
          <w:ilvl w:val="0"/>
          <w:numId w:val="3"/>
        </w:numPr>
      </w:pPr>
      <w:r>
        <w:rPr>
          <w:b/>
          <w:bCs/>
        </w:rPr>
        <w:t xml:space="preserve">LLM/RAG layer: </w:t>
      </w:r>
      <w:r>
        <w:t xml:space="preserve">Enhanced semantic search, evidence citation with uncertainty quantification, historical pattern matching, multilingual communication, LLM fine-tuning for consistent narratives</w:t>
      </w:r>
    </w:p>
    <w:p>
      <w:pPr>
        <w:spacing w:after="200"/>
      </w:pPr>
      <w:r>
        <w:t xml:space="preserve">Key additions in this version include quantitative success metrics for objective progress tracking, rainfall forecasting integration for improved lead time, explicit handling of negative pore pressure readings, LLM fine-tuning plans, and a defined review cadence with quarterly post-monsoon retrospectives.</w:t>
      </w:r>
    </w:p>
    <w:p>
      <w:pPr>
        <w:spacing w:after="200"/>
      </w:pPr>
      <w:r>
        <w:t xml:space="preserve">By following this plan with explicit deliverables, success criteria, and regular review cycles, OpenLEWS can evolve into a robust neuro-symbolic system that offers interpretable, adaptive, and context-aware landslide early warnings. The modular architecture allows incremental implementation without disrupting existing functionality, and the simulation harness enables validation before production deployment.</w:t>
      </w:r>
    </w:p>
    <w:p>
      <w:r>
        <w:rPr>
          <w:i/>
          <w:iCs/>
          <w:color w:val="888888"/>
        </w:rPr>
        <w:t xml:space="preserve">Document version: 2.1 • Last updated: January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OpenLEWS Enhanced Implementation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2025-12-31T23:24:45.021Z</dcterms:created>
  <dcterms:modified xsi:type="dcterms:W3CDTF">2025-12-31T23:24:45.022Z</dcterms:modified>
</cp:coreProperties>
</file>

<file path=docProps/custom.xml><?xml version="1.0" encoding="utf-8"?>
<Properties xmlns="http://schemas.openxmlformats.org/officeDocument/2006/custom-properties" xmlns:vt="http://schemas.openxmlformats.org/officeDocument/2006/docPropsVTypes"/>
</file>