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KASIM</w:t>
      </w:r>
    </w:p>
    <w:p>
      <w:pPr>
        <w:spacing w:after="20"/>
      </w:pPr>
      <w:r>
        <w:rPr>
          <w:b/>
          <w:i w:val="0"/>
          <w:color w:val="000000"/>
          <w:sz w:val="36"/>
        </w:rPr>
        <w:t>Hayatın İçindeyim</w:t>
      </w:r>
    </w:p>
    <w:p>
      <w:pPr>
        <w:spacing w:after="120"/>
      </w:pPr>
      <w:r>
        <w:rPr>
          <w:b/>
          <w:i w:val="0"/>
          <w:color w:val="000000"/>
          <w:sz w:val="21"/>
        </w:rPr>
        <w:t>GÜNLÜK YAŞAM BECERİLERİ · AİLEMLE OYNUYORUM</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1 ders saati</w:t>
            </w:r>
          </w:p>
        </w:tc>
      </w:tr>
      <w:tr>
        <w:tc>
          <w:tcPr>
            <w:tcW w:type="dxa" w:w="2381"/>
          </w:tcPr>
          <w:p>
            <w:r>
              <w:rPr>
                <w:b/>
                <w:sz w:val="20"/>
              </w:rPr>
              <w:t>Uygulama Yeri</w:t>
            </w:r>
          </w:p>
        </w:tc>
        <w:tc>
          <w:tcPr>
            <w:tcW w:type="dxa" w:w="7710"/>
          </w:tcPr>
          <w:p>
            <w:r>
              <w:rPr>
                <w:sz w:val="20"/>
              </w:rPr>
              <w:t>Sınıf veya okul bahçesi</w:t>
            </w:r>
          </w:p>
        </w:tc>
      </w:tr>
      <w:tr>
        <w:tc>
          <w:tcPr>
            <w:tcW w:type="dxa" w:w="2381"/>
          </w:tcPr>
          <w:p>
            <w:r>
              <w:rPr>
                <w:b/>
                <w:sz w:val="20"/>
              </w:rPr>
              <w:t>Yöntem ve Teknikler</w:t>
            </w:r>
          </w:p>
        </w:tc>
        <w:tc>
          <w:tcPr>
            <w:tcW w:type="dxa" w:w="7710"/>
          </w:tcPr>
          <w:p>
            <w:r>
              <w:rPr>
                <w:sz w:val="20"/>
              </w:rPr>
              <w:t>İstasyon tekniği, oyunlaştırılmış öğrenme, iş birliğine dayalı öğrenme</w:t>
            </w:r>
          </w:p>
        </w:tc>
      </w:tr>
      <w:tr>
        <w:tc>
          <w:tcPr>
            <w:tcW w:type="dxa" w:w="2381"/>
          </w:tcPr>
          <w:p>
            <w:r>
              <w:rPr>
                <w:b/>
                <w:sz w:val="20"/>
              </w:rPr>
              <w:t>Uygulama Yapacak Görevliler</w:t>
            </w:r>
          </w:p>
        </w:tc>
        <w:tc>
          <w:tcPr>
            <w:tcW w:type="dxa" w:w="7710"/>
          </w:tcPr>
          <w:p>
            <w:r>
              <w:rPr>
                <w:sz w:val="20"/>
              </w:rPr>
              <w:t>Sınıf Öğretmeni</w:t>
            </w:r>
          </w:p>
        </w:tc>
      </w:tr>
      <w:tr>
        <w:tc>
          <w:tcPr>
            <w:tcW w:type="dxa" w:w="2381"/>
          </w:tcPr>
          <w:p>
            <w:r>
              <w:rPr>
                <w:b/>
                <w:sz w:val="20"/>
              </w:rPr>
              <w:t>Araç Gereç</w:t>
            </w:r>
          </w:p>
        </w:tc>
        <w:tc>
          <w:tcPr>
            <w:tcW w:type="dxa" w:w="7710"/>
          </w:tcPr>
          <w:p>
            <w:r>
              <w:rPr>
                <w:sz w:val="20"/>
              </w:rPr>
              <w:t>Bağcıklı ayakkabı, ip, boncuklar, tişört, havlu veya küçük kıyafetler, plastik tepsi, plastik bardaklar, sandalye, süreölçer, Ek 7 “Beceri Kahramanı Rozeti”</w:t>
            </w:r>
          </w:p>
        </w:tc>
      </w:tr>
    </w:tbl>
    <w:p>
      <w:pPr>
        <w:spacing w:after="40"/>
      </w:pPr>
    </w:p>
    <w:p>
      <w:pPr>
        <w:spacing w:after="20"/>
      </w:pPr>
      <w:r>
        <w:rPr>
          <w:b/>
          <w:i w:val="0"/>
          <w:color w:val="000000"/>
          <w:sz w:val="23"/>
        </w:rPr>
        <w:t>AMAÇ</w:t>
      </w:r>
    </w:p>
    <w:p>
      <w:pPr>
        <w:spacing w:after="40"/>
      </w:pPr>
      <w:r>
        <w:rPr>
          <w:b w:val="0"/>
          <w:i w:val="0"/>
          <w:color w:val="000000"/>
          <w:sz w:val="21"/>
        </w:rPr>
        <w:t>Oyunlaştırılmış öğrenme yoluyla öğrencilerin ayakkabı bağcığı bağlama, ipe boncuk dizme, kıyafet katlama ve dengeli nesne taşıma gibi temel günlük yaşam becerilerini aile-okul iş birliği içinde geliştirmelerini; el-göz koordinasyonu, dikkat, sabır, yönerge takip etme ve problem çözme becerilerinin gelişimini desteklemektir.</w:t>
      </w:r>
    </w:p>
    <w:p>
      <w:pPr>
        <w:spacing w:after="20"/>
      </w:pPr>
      <w:r>
        <w:rPr>
          <w:b/>
          <w:i w:val="0"/>
          <w:color w:val="000000"/>
          <w:sz w:val="23"/>
        </w:rPr>
        <w:t>UYGULAYICI İÇİN ÖN HAZIRLIK</w:t>
      </w:r>
    </w:p>
    <w:p>
      <w:pPr>
        <w:spacing w:after="40"/>
        <w:ind w:left="170"/>
      </w:pPr>
      <w:r>
        <w:rPr>
          <w:b w:val="0"/>
          <w:i w:val="0"/>
          <w:color w:val="000000"/>
          <w:sz w:val="21"/>
        </w:rPr>
        <w:t>•  Sınıfta veya bahçede dört ayrı istasyon hazırlanır.</w:t>
      </w:r>
    </w:p>
    <w:p>
      <w:pPr>
        <w:spacing w:after="40"/>
        <w:ind w:left="170"/>
      </w:pPr>
      <w:r>
        <w:rPr>
          <w:b w:val="0"/>
          <w:i w:val="0"/>
          <w:color w:val="000000"/>
          <w:sz w:val="21"/>
        </w:rPr>
        <w:t>•  Her istasyona gerekli materyaller yerleştirilir.</w:t>
      </w:r>
    </w:p>
    <w:p>
      <w:pPr>
        <w:spacing w:after="40"/>
        <w:ind w:left="170"/>
      </w:pPr>
      <w:r>
        <w:rPr>
          <w:b w:val="0"/>
          <w:i w:val="0"/>
          <w:color w:val="000000"/>
          <w:sz w:val="21"/>
        </w:rPr>
        <w:t>•  İstasyonlar arasındaki geçiş yönleri yer bantlarıyla belirlenir.</w:t>
      </w:r>
    </w:p>
    <w:p>
      <w:pPr>
        <w:spacing w:after="40"/>
        <w:ind w:left="170"/>
      </w:pPr>
      <w:r>
        <w:rPr>
          <w:b w:val="0"/>
          <w:i w:val="0"/>
          <w:color w:val="000000"/>
          <w:sz w:val="21"/>
        </w:rPr>
        <w:t>•  Öğrenciler velileriyle ikili gruplar oluşturur.</w:t>
      </w:r>
    </w:p>
    <w:p>
      <w:pPr>
        <w:spacing w:after="40"/>
        <w:ind w:left="170"/>
      </w:pPr>
      <w:r>
        <w:rPr>
          <w:b w:val="0"/>
          <w:i w:val="0"/>
          <w:color w:val="000000"/>
          <w:sz w:val="21"/>
        </w:rPr>
        <w:t>•  Öğretmen süreyi süreölçer ile takip eder. Süre ve sesli uyarılarla bütün gruplar aynı anda bir sonraki istasyona geçer. Böylece etkinlik istasyon tekniği ile yürütülür ve bekleme süresi oluşmaz.</w:t>
      </w:r>
    </w:p>
    <w:p>
      <w:pPr>
        <w:spacing w:after="40"/>
        <w:ind w:left="170"/>
      </w:pPr>
      <w:r>
        <w:rPr>
          <w:b w:val="0"/>
          <w:i w:val="0"/>
          <w:color w:val="000000"/>
          <w:sz w:val="21"/>
        </w:rPr>
        <w:t>•  İstasyon çalışmasında her grup etkinliği tamamladıktan sonra kullandığı materyali bir sonraki grup için başlangıç durumuna getirerek istasyondan ayrılır.</w:t>
      </w:r>
    </w:p>
    <w:p>
      <w:pPr>
        <w:spacing w:after="20"/>
      </w:pPr>
      <w:r>
        <w:rPr>
          <w:b/>
          <w:i w:val="0"/>
          <w:color w:val="000000"/>
          <w:sz w:val="23"/>
        </w:rPr>
        <w:t>UYGULAYICIYA NOT</w:t>
      </w:r>
    </w:p>
    <w:p>
      <w:pPr>
        <w:spacing w:after="40"/>
        <w:ind w:left="170"/>
      </w:pPr>
      <w:r>
        <w:rPr>
          <w:b w:val="0"/>
          <w:i w:val="0"/>
          <w:color w:val="000000"/>
          <w:sz w:val="21"/>
        </w:rPr>
        <w:t>•  Kullanılacak materyaller öğrencilerin yaş ve gelişim özelliklerine uygun, güvenli ve kolay kullanılabilir nitelikte olmalıdır.</w:t>
      </w:r>
    </w:p>
    <w:p>
      <w:pPr>
        <w:spacing w:after="40"/>
        <w:ind w:left="170"/>
      </w:pPr>
      <w:r>
        <w:rPr>
          <w:b w:val="0"/>
          <w:i w:val="0"/>
          <w:color w:val="000000"/>
          <w:sz w:val="21"/>
        </w:rPr>
        <w:t>•  Ek 7’ de yer alan rozet kartı örneği öğrenci sayısına göre hazırlanmalıdır.</w:t>
      </w:r>
    </w:p>
    <w:p>
      <w:pPr>
        <w:spacing w:after="40"/>
        <w:ind w:left="170"/>
      </w:pPr>
      <w:r>
        <w:rPr>
          <w:b w:val="0"/>
          <w:i w:val="0"/>
          <w:color w:val="000000"/>
          <w:sz w:val="21"/>
        </w:rPr>
        <w:t>•  Süreç içinde etkinliklere veli katılımının sağlanmasına hassasiyet gösterilmeli ve velilerin öğrencilere rehberlik etmelerinin önemli olduğu vurgulanmalıdır.</w:t>
      </w:r>
    </w:p>
    <w:p>
      <w:pPr>
        <w:spacing w:after="20"/>
      </w:pPr>
      <w:r>
        <w:rPr>
          <w:b/>
          <w:i w:val="0"/>
          <w:color w:val="000000"/>
          <w:sz w:val="23"/>
        </w:rPr>
        <w:t>AKIŞ / SÜREÇ</w:t>
      </w:r>
    </w:p>
    <w:p>
      <w:pPr>
        <w:spacing w:after="40"/>
        <w:ind w:left="170"/>
      </w:pPr>
      <w:r>
        <w:rPr>
          <w:b w:val="0"/>
          <w:i w:val="0"/>
          <w:color w:val="000000"/>
          <w:sz w:val="21"/>
        </w:rPr>
        <w:t>•  Öğrenciler velileriyle gruplar hâlinde etkinliğe katılır.</w:t>
      </w:r>
    </w:p>
    <w:p>
      <w:pPr>
        <w:spacing w:after="40"/>
        <w:ind w:left="170"/>
      </w:pPr>
      <w:r>
        <w:rPr>
          <w:b w:val="0"/>
          <w:i w:val="0"/>
          <w:color w:val="000000"/>
          <w:sz w:val="21"/>
        </w:rPr>
        <w:t>•  İlk grup öğretmenin yönergesiyle 1. istasyonda etkinliğe başlar.</w:t>
      </w:r>
    </w:p>
    <w:p>
      <w:pPr>
        <w:spacing w:after="40"/>
        <w:ind w:left="170"/>
      </w:pPr>
      <w:r>
        <w:rPr>
          <w:b w:val="0"/>
          <w:i w:val="0"/>
          <w:color w:val="000000"/>
          <w:sz w:val="21"/>
        </w:rPr>
        <w:t>•  Öğretmenin belirlediği süre sonunda ilk grup bir sonraki istasyona geçerken ikinci grup beklemeden 1. istasyona gelir ve etkinlik bu şekilde devam eder.</w:t>
      </w:r>
    </w:p>
    <w:p>
      <w:pPr>
        <w:spacing w:after="40"/>
        <w:ind w:left="170"/>
      </w:pPr>
      <w:r>
        <w:rPr>
          <w:b w:val="0"/>
          <w:i w:val="0"/>
          <w:color w:val="000000"/>
          <w:sz w:val="21"/>
        </w:rPr>
        <w:t>•  Öğretmen süreölçer kullanarak her istasyonun süresini takip eder ve geçişleri sesli uyarıyla yönetir.</w:t>
      </w:r>
    </w:p>
    <w:p>
      <w:pPr>
        <w:spacing w:after="40"/>
        <w:ind w:left="170"/>
      </w:pPr>
      <w:r>
        <w:rPr>
          <w:b w:val="0"/>
          <w:i w:val="0"/>
          <w:color w:val="000000"/>
          <w:sz w:val="21"/>
        </w:rPr>
        <w:t>•  Veliler tüm istasyonlarda öğrencileri cesaretlendirir, gerektiğinde beceriyi önce model olarak gösterir, sözel ipuçları verir ve olumlu geri bildirim sağlar. Ancak uygulamayı öğrencinin yerine yapmaz.</w:t>
      </w:r>
    </w:p>
    <w:p>
      <w:pPr>
        <w:spacing w:after="20"/>
      </w:pPr>
      <w:r>
        <w:rPr>
          <w:b/>
          <w:i w:val="0"/>
          <w:color w:val="000000"/>
          <w:sz w:val="21"/>
        </w:rPr>
        <w:t>1. İstasyon Ayakkabı Bağcığı Bağlama</w:t>
      </w:r>
    </w:p>
    <w:p>
      <w:pPr>
        <w:spacing w:after="40"/>
        <w:ind w:left="170"/>
      </w:pPr>
      <w:r>
        <w:rPr>
          <w:b w:val="0"/>
          <w:i w:val="0"/>
          <w:color w:val="000000"/>
          <w:sz w:val="21"/>
        </w:rPr>
        <w:t>•  Öğrenci bağcığı doğru deliklerden geçirerek ayakkabıyı bağlamaya çalışır ve basit bir fiyonk oluşturur. Etkinlik tamamlandıktan sonra öğrenci ve veli birlikte ayakkabı bağını çözerek materyali bir sonraki grup için başlangıç durumuna getirir ve istasyondan ayrılır.</w:t>
      </w:r>
    </w:p>
    <w:p>
      <w:pPr>
        <w:spacing w:after="20"/>
      </w:pPr>
      <w:r>
        <w:rPr>
          <w:b/>
          <w:i w:val="0"/>
          <w:color w:val="000000"/>
          <w:sz w:val="21"/>
        </w:rPr>
        <w:t>2. İstasyon İpe Boncuk Dizme</w:t>
      </w:r>
    </w:p>
    <w:p>
      <w:pPr>
        <w:spacing w:after="40"/>
        <w:ind w:left="170"/>
      </w:pPr>
      <w:r>
        <w:rPr>
          <w:b w:val="0"/>
          <w:i w:val="0"/>
          <w:color w:val="000000"/>
          <w:sz w:val="21"/>
        </w:rPr>
        <w:t>•  Veli, masada bulunan boncukların bir kısmını kullanarak belirli bir renk örüntüsü (örneğin kırmızı–mavi–kırmızı– mavi veya sarı–yeşil–sarı–yeşil) oluşturur. Öğrenci, velisinin oluşturduğu örüntüyü dikkatle inceleyerek aynı sırayı takip edecek şekilde boncukları ipe dizer ve örüntüyü tamamlar. Etkinlik tamamlandıktan sonra öğrenci ve veli boncukları ipten çıkararak malzemeleri bir sonraki grup için başlangıç durumuna getirir. Veli, öğrencinin yerine boncuk dizmez; örüntüyü oluşturur, sözel ipuçları verir ve öğrenciyi cesaretlendirir.</w:t>
      </w:r>
    </w:p>
    <w:p>
      <w:pPr>
        <w:spacing w:after="20"/>
      </w:pPr>
      <w:r>
        <w:rPr>
          <w:b/>
          <w:i w:val="0"/>
          <w:color w:val="000000"/>
          <w:sz w:val="21"/>
        </w:rPr>
        <w:t>3. İstasyon Kıyafet Katlama</w:t>
      </w:r>
    </w:p>
    <w:p>
      <w:pPr>
        <w:spacing w:after="40"/>
        <w:ind w:left="170"/>
      </w:pPr>
      <w:r>
        <w:rPr>
          <w:b w:val="0"/>
          <w:i w:val="0"/>
          <w:color w:val="000000"/>
          <w:sz w:val="21"/>
        </w:rPr>
        <w:t>•  Öğrenci ve veli masada bulunan kıyafetleri kendi aralarında paylaştırarak düzenli bir şekilde katlar ve belirlenen alana yerleştirir. Katlama işlemini tamamladıktan sonra kıyafetleri yeniden açarak bir sonraki grup için başlangıç durumuna getirir ve istasyondan ayrılır.</w:t>
      </w:r>
    </w:p>
    <w:p>
      <w:pPr>
        <w:spacing w:after="20"/>
      </w:pPr>
      <w:r>
        <w:rPr>
          <w:b/>
          <w:i w:val="0"/>
          <w:color w:val="000000"/>
          <w:sz w:val="21"/>
        </w:rPr>
        <w:t>4. İstasyon Tepsiyle Bardak Taşıma</w:t>
      </w:r>
    </w:p>
    <w:p>
      <w:pPr>
        <w:spacing w:after="40"/>
        <w:ind w:left="170"/>
      </w:pPr>
      <w:r>
        <w:rPr>
          <w:b w:val="0"/>
          <w:i w:val="0"/>
          <w:color w:val="000000"/>
          <w:sz w:val="21"/>
        </w:rPr>
        <w:t>•  Veli rehberliğinde öğrenci, bardakları su ile doldurarak tepsi üzerine dengeli bir şekilde yerleştirir. Tepsiyi iki eliyle dikkatli bir şekilde tutarak belirlenen parkurda ilerler. Sandalyenin etrafından dolaşarak başlangıç noktasına ulaşmaya çalışır. Öğrenci, hareketleri sırasında dikkatli davranarak bardakları düşürmeden veya içindeki malzemeleri dökmeden parkuru tamamlamaya çalışır. Etkinlik tamamlandıktan sonra öğrenci ve veli, bardakları ve tepsiyi başlangıçtaki düzenine getirerek istasyonu bir sonraki grup için hazırlar. Tüm istasyonları bitiren takımlara Ek 7’ deki “Beceri Kahramanı Rozeti” öğretmen tarafından takılır. Tüm gruplar etkinliği bitirdikten sonra öğrencilere etkinlikte en çok hoşlarına giden istasyonu, en keyif aldıkları görevi ve aileleriyle iş birliği yaparken neler hissettiklerini arkadaşlarıyla paylaşmaları için söz hakkı verilir. Etkinlik tamamlandıktan sonra öğrenci ve velilerden “Çocuğumla Okula İlk Adım Defteri”nde yer alan “Hayatın İçindeyim” etkinliğini doldurmaları istenir.</w:t>
      </w:r>
    </w:p>
    <w:p>
      <w:pPr>
        <w:spacing w:after="20"/>
      </w:pPr>
      <w:r>
        <w:rPr>
          <w:b/>
          <w:i w:val="0"/>
          <w:color w:val="000000"/>
          <w:sz w:val="23"/>
        </w:rPr>
        <w:t>EKLER</w:t>
      </w:r>
    </w:p>
    <w:p>
      <w:pPr>
        <w:spacing w:after="40"/>
      </w:pPr>
      <w:r>
        <w:rPr>
          <w:b w:val="0"/>
          <w:i w:val="0"/>
          <w:color w:val="000000"/>
          <w:sz w:val="21"/>
        </w:rPr>
        <w:t>Ek 7 Beceri Kahramanı Rozeti</w:t>
      </w:r>
    </w:p>
    <w:p>
      <w:pPr>
        <w:spacing w:after="40"/>
      </w:pPr>
      <w:r>
        <w:rPr>
          <w:b w:val="0"/>
          <w:i/>
          <w:color w:val="000000"/>
          <w:sz w:val="21"/>
        </w:rPr>
        <w:t>Ekler, “1. Sınıf Program Ekleri” dosyasındadır.</w:t>
      </w:r>
    </w:p>
    <w:p>
      <w:pPr>
        <w:spacing w:after="0"/>
      </w:pPr>
      <w:r>
        <w:rPr>
          <w:b w:val="0"/>
          <w:i/>
          <w:color w:val="000000"/>
          <w:sz w:val="16"/>
        </w:rPr>
        <w:t>Kaynak: Ailemle Okul Yolu Programı – İlkokul 1. Sınıf (TEGM, 2026), s.35-37.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