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akimai — как сортируются кредиты</w:t>
      </w:r>
    </w:p>
    <w:p>
      <w:r>
        <w:t>Фактический алгоритм в текущем коде · 25.10.2026</w:t>
      </w:r>
    </w:p>
    <w:p>
      <w:pPr>
        <w:pStyle w:val="Heading1"/>
      </w:pPr>
      <w:r>
        <w:t>1. Что попадает в расчёт</w:t>
      </w:r>
    </w:p>
    <w:p>
      <w:r>
        <w:t>Профиль анкеты содержит цель, сумму, обеспечение и сведения о бизнесе. Расчётный срок кредита = max(3, min(240, 2 × число месяцев до начала возврата выручки)). Это техническое допущение, а не выбранный пользователем срок. Каталог сейчас содержит 12 заранее внесённых предложений конкретных банков.</w:t>
      </w:r>
    </w:p>
    <w:p>
      <w:pPr>
        <w:pStyle w:val="Heading1"/>
      </w:pPr>
      <w:r>
        <w:t>2. Обязательные фильтры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0D6045"/>
          </w:tcPr>
          <w:p>
            <w:r>
              <w:rPr>
                <w:b/>
                <w:color w:val="FFFFFF"/>
              </w:rPr>
              <w:t>Фильтр</w:t>
            </w:r>
          </w:p>
        </w:tc>
        <w:tc>
          <w:tcPr>
            <w:tcW w:type="dxa" w:w="4819"/>
            <w:shd w:fill="0D6045"/>
          </w:tcPr>
          <w:p>
            <w:r>
              <w:rPr>
                <w:b/>
                <w:color w:val="FFFFFF"/>
              </w:rPr>
              <w:t>Правило</w:t>
            </w:r>
          </w:p>
        </w:tc>
      </w:tr>
      <w:tr>
        <w:tc>
          <w:tcPr>
            <w:tcW w:type="dxa" w:w="4819"/>
            <w:vAlign w:val="center"/>
          </w:tcPr>
          <w:p>
            <w:r>
              <w:t>Цель</w:t>
            </w:r>
          </w:p>
        </w:tc>
        <w:tc>
          <w:tcPr>
            <w:tcW w:type="dxa" w:w="4819"/>
            <w:vAlign w:val="center"/>
          </w:tcPr>
          <w:p>
            <w:r>
              <w:t>Цель пользователя должна входить в список purposes продукта.</w:t>
            </w:r>
          </w:p>
        </w:tc>
      </w:tr>
      <w:tr>
        <w:tc>
          <w:tcPr>
            <w:tcW w:type="dxa" w:w="4819"/>
            <w:vAlign w:val="center"/>
          </w:tcPr>
          <w:p>
            <w:r>
              <w:t>Сумма</w:t>
            </w:r>
          </w:p>
        </w:tc>
        <w:tc>
          <w:tcPr>
            <w:tcW w:type="dxa" w:w="4819"/>
            <w:vAlign w:val="center"/>
          </w:tcPr>
          <w:p>
            <w:r>
              <w:t>min_amount ≤ запрошенная сумма ≤ max_amount.</w:t>
            </w:r>
          </w:p>
        </w:tc>
      </w:tr>
      <w:tr>
        <w:tc>
          <w:tcPr>
            <w:tcW w:type="dxa" w:w="4819"/>
            <w:vAlign w:val="center"/>
          </w:tcPr>
          <w:p>
            <w:r>
              <w:t>Обеспечение</w:t>
            </w:r>
          </w:p>
        </w:tc>
        <w:tc>
          <w:tcPr>
            <w:tcW w:type="dxa" w:w="4819"/>
            <w:vAlign w:val="center"/>
          </w:tcPr>
          <w:p>
            <w:r>
              <w:t>Выбранный тип обеспечения должен входить в список collateral продукта.</w:t>
            </w:r>
          </w:p>
        </w:tc>
      </w:tr>
    </w:tbl>
    <w:p/>
    <w:p>
      <w:r>
        <w:t>Если хотя бы один фильтр не пройден, продукт исключается. Возраст бизнеса, расчётный срок, юридическая форма, выручка и просрочка сейчас не являются жёсткими фильтрами.</w:t>
      </w:r>
    </w:p>
    <w:p>
      <w:pPr>
        <w:pStyle w:val="Heading1"/>
      </w:pPr>
      <w:r>
        <w:t>3. Определение подходящего типа инструмента</w:t>
      </w:r>
    </w:p>
    <w:p>
      <w:r>
        <w:t>Тип предложения определяется по названию: «овердрафт» → overdraft; «линия» → credit_line; «контракт»/«госзаказ» → contract_financing; «ипотека»/«залог приобретаемого»/«капитальные»/«инвестиционный» → asset_financing; иначе term_loan. Проверки идут именно в этом порядке.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0D6045"/>
          </w:tcPr>
          <w:p>
            <w:r>
              <w:rPr>
                <w:b/>
                <w:color w:val="FFFFFF"/>
              </w:rPr>
              <w:t>Параметры анкеты</w:t>
            </w:r>
          </w:p>
        </w:tc>
        <w:tc>
          <w:tcPr>
            <w:tcW w:type="dxa" w:w="4819"/>
            <w:shd w:fill="0D6045"/>
          </w:tcPr>
          <w:p>
            <w:r>
              <w:rPr>
                <w:b/>
                <w:color w:val="FFFFFF"/>
              </w:rPr>
              <w:t>Предпочтение по правилам</w:t>
            </w:r>
          </w:p>
        </w:tc>
      </w:tr>
      <w:tr>
        <w:tc>
          <w:tcPr>
            <w:tcW w:type="dxa" w:w="4819"/>
            <w:vAlign w:val="center"/>
          </w:tcPr>
          <w:p>
            <w:r>
              <w:t>Транши, регулярные расходы или сезонная цель</w:t>
            </w:r>
          </w:p>
        </w:tc>
        <w:tc>
          <w:tcPr>
            <w:tcW w:type="dxa" w:w="4819"/>
            <w:vAlign w:val="center"/>
          </w:tcPr>
          <w:p>
            <w:r>
              <w:t>Кредитная линия</w:t>
            </w:r>
          </w:p>
        </w:tc>
      </w:tr>
      <w:tr>
        <w:tc>
          <w:tcPr>
            <w:tcW w:type="dxa" w:w="4819"/>
            <w:vAlign w:val="center"/>
          </w:tcPr>
          <w:p>
            <w:r>
              <w:t>Кассовый разрыв и возврат выручки ≤ 3 месяцев</w:t>
            </w:r>
          </w:p>
        </w:tc>
        <w:tc>
          <w:tcPr>
            <w:tcW w:type="dxa" w:w="4819"/>
            <w:vAlign w:val="center"/>
          </w:tcPr>
          <w:p>
            <w:r>
              <w:t>Овердрафт и кредитная линия</w:t>
            </w:r>
          </w:p>
        </w:tc>
      </w:tr>
      <w:tr>
        <w:tc>
          <w:tcPr>
            <w:tcW w:type="dxa" w:w="4819"/>
            <w:vAlign w:val="center"/>
          </w:tcPr>
          <w:p>
            <w:r>
              <w:t>Коммерческий/госконтракт при наличии контракта</w:t>
            </w:r>
          </w:p>
        </w:tc>
        <w:tc>
          <w:tcPr>
            <w:tcW w:type="dxa" w:w="4819"/>
            <w:vAlign w:val="center"/>
          </w:tcPr>
          <w:p>
            <w:r>
              <w:t>Контрактное финансирование</w:t>
            </w:r>
          </w:p>
        </w:tc>
      </w:tr>
      <w:tr>
        <w:tc>
          <w:tcPr>
            <w:tcW w:type="dxa" w:w="4819"/>
            <w:vAlign w:val="center"/>
          </w:tcPr>
          <w:p>
            <w:r>
              <w:t>Оборудование, транспорт, недвижимость, стройка, инвестиции</w:t>
            </w:r>
          </w:p>
        </w:tc>
        <w:tc>
          <w:tcPr>
            <w:tcW w:type="dxa" w:w="4819"/>
            <w:vAlign w:val="center"/>
          </w:tcPr>
          <w:p>
            <w:r>
              <w:t>Финансирование актива</w:t>
            </w:r>
          </w:p>
        </w:tc>
      </w:tr>
      <w:tr>
        <w:tc>
          <w:tcPr>
            <w:tcW w:type="dxa" w:w="4819"/>
            <w:vAlign w:val="center"/>
          </w:tcPr>
          <w:p>
            <w:r>
              <w:t>Если ничего из перечисленного не подошло</w:t>
            </w:r>
          </w:p>
        </w:tc>
        <w:tc>
          <w:tcPr>
            <w:tcW w:type="dxa" w:w="4819"/>
            <w:vAlign w:val="center"/>
          </w:tcPr>
          <w:p>
            <w:r>
              <w:t>Разовый кредит</w:t>
            </w:r>
          </w:p>
        </w:tc>
      </w:tr>
    </w:tbl>
    <w:p/>
    <w:p>
      <w:pPr>
        <w:pStyle w:val="Heading1"/>
      </w:pPr>
      <w:r>
        <w:t>4. Формула баллов</w:t>
      </w:r>
    </w:p>
    <w:p>
      <w:r>
        <w:t>Итог = инструмент + денежный цикл + условия каталога + платёжная нагрузка + скорость + контекст ИИ. Максимум — 100 баллов.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0D6045"/>
          </w:tcPr>
          <w:p>
            <w:r>
              <w:rPr>
                <w:b/>
                <w:color w:val="FFFFFF"/>
              </w:rPr>
              <w:t>Компонент</w:t>
            </w:r>
          </w:p>
        </w:tc>
        <w:tc>
          <w:tcPr>
            <w:tcW w:type="dxa" w:w="3213"/>
            <w:shd w:fill="0D6045"/>
          </w:tcPr>
          <w:p>
            <w:r>
              <w:rPr>
                <w:b/>
                <w:color w:val="FFFFFF"/>
              </w:rPr>
              <w:t>Точный расчёт</w:t>
            </w:r>
          </w:p>
        </w:tc>
        <w:tc>
          <w:tcPr>
            <w:tcW w:type="dxa" w:w="3213"/>
            <w:shd w:fill="0D6045"/>
          </w:tcPr>
          <w:p>
            <w:r>
              <w:rPr>
                <w:b/>
                <w:color w:val="FFFFFF"/>
              </w:rPr>
              <w:t>Максимум</w:t>
            </w:r>
          </w:p>
        </w:tc>
      </w:tr>
      <w:tr>
        <w:tc>
          <w:tcPr>
            <w:tcW w:type="dxa" w:w="3213"/>
            <w:vAlign w:val="center"/>
          </w:tcPr>
          <w:p>
            <w:r>
              <w:t>Инструмент</w:t>
            </w:r>
          </w:p>
        </w:tc>
        <w:tc>
          <w:tcPr>
            <w:tcW w:type="dxa" w:w="3213"/>
            <w:vAlign w:val="center"/>
          </w:tcPr>
          <w:p>
            <w:r>
              <w:t>22 базовых + 13, если тип входит в предпочтения правил.</w:t>
            </w:r>
          </w:p>
        </w:tc>
        <w:tc>
          <w:tcPr>
            <w:tcW w:type="dxa" w:w="3213"/>
            <w:vAlign w:val="center"/>
          </w:tcPr>
          <w:p>
            <w:r>
              <w:t>35</w:t>
            </w:r>
          </w:p>
        </w:tc>
      </w:tr>
      <w:tr>
        <w:tc>
          <w:tcPr>
            <w:tcW w:type="dxa" w:w="3213"/>
            <w:vAlign w:val="center"/>
          </w:tcPr>
          <w:p>
            <w:r>
              <w:t>Денежный цикл</w:t>
            </w:r>
          </w:p>
        </w:tc>
        <w:tc>
          <w:tcPr>
            <w:tcW w:type="dxa" w:w="3213"/>
            <w:vAlign w:val="center"/>
          </w:tcPr>
          <w:p>
            <w:r>
              <w:t>12, если расчётный срок внутри вилки продукта; иначе 0. Ещё 8 за совпадение: короткий кассовый разрыв/овердрафт, подтверждённый контракт/контрактное финансирование, транши/линия либо выбранный или поэтапно оплачиваемый актив/финансирование актива.</w:t>
            </w:r>
          </w:p>
        </w:tc>
        <w:tc>
          <w:tcPr>
            <w:tcW w:type="dxa" w:w="3213"/>
            <w:vAlign w:val="center"/>
          </w:tcPr>
          <w:p>
            <w:r>
              <w:t>20</w:t>
            </w:r>
          </w:p>
        </w:tc>
      </w:tr>
      <w:tr>
        <w:tc>
          <w:tcPr>
            <w:tcW w:type="dxa" w:w="3213"/>
            <w:vAlign w:val="center"/>
          </w:tcPr>
          <w:p>
            <w:r>
              <w:t>Условия каталога</w:t>
            </w:r>
          </w:p>
        </w:tc>
        <w:tc>
          <w:tcPr>
            <w:tcW w:type="dxa" w:w="3213"/>
            <w:vAlign w:val="center"/>
          </w:tcPr>
          <w:p>
            <w:r>
              <w:t>16 базовых + 4, если возраст бизнеса ≥ минимального возраста продукта. Если меньше — предупреждение, но продукт остаётся в ленте.</w:t>
            </w:r>
          </w:p>
        </w:tc>
        <w:tc>
          <w:tcPr>
            <w:tcW w:type="dxa" w:w="3213"/>
            <w:vAlign w:val="center"/>
          </w:tcPr>
          <w:p>
            <w:r>
              <w:t>20</w:t>
            </w:r>
          </w:p>
        </w:tc>
      </w:tr>
      <w:tr>
        <w:tc>
          <w:tcPr>
            <w:tcW w:type="dxa" w:w="3213"/>
            <w:vAlign w:val="center"/>
          </w:tcPr>
          <w:p>
            <w:r>
              <w:t>Платёжная нагрузка</w:t>
            </w:r>
          </w:p>
        </w:tc>
        <w:tc>
          <w:tcPr>
            <w:tcW w:type="dxa" w:w="3213"/>
            <w:vAlign w:val="center"/>
          </w:tcPr>
          <w:p>
            <w:r>
              <w:t>При положительном свободном остатке: 15, если оценочный платёж ≤ 70% остатка; 10, если ≤ 100%; иначе 0. Без положительного остатка — 5 и предупреждение.</w:t>
            </w:r>
          </w:p>
        </w:tc>
        <w:tc>
          <w:tcPr>
            <w:tcW w:type="dxa" w:w="3213"/>
            <w:vAlign w:val="center"/>
          </w:tcPr>
          <w:p>
            <w:r>
              <w:t>15</w:t>
            </w:r>
          </w:p>
        </w:tc>
      </w:tr>
      <w:tr>
        <w:tc>
          <w:tcPr>
            <w:tcW w:type="dxa" w:w="3213"/>
            <w:vAlign w:val="center"/>
          </w:tcPr>
          <w:p>
            <w:r>
              <w:t>Скорость</w:t>
            </w:r>
          </w:p>
        </w:tc>
        <w:tc>
          <w:tcPr>
            <w:tcW w:type="dxa" w:w="3213"/>
            <w:vAlign w:val="center"/>
          </w:tcPr>
          <w:p>
            <w:r>
              <w:t>При известной срочности и сроке рассмотрения: 5, если успевает, иначе 0. Если одного из параметров нет — 3.</w:t>
            </w:r>
          </w:p>
        </w:tc>
        <w:tc>
          <w:tcPr>
            <w:tcW w:type="dxa" w:w="3213"/>
            <w:vAlign w:val="center"/>
          </w:tcPr>
          <w:p>
            <w:r>
              <w:t>5</w:t>
            </w:r>
          </w:p>
        </w:tc>
      </w:tr>
      <w:tr>
        <w:tc>
          <w:tcPr>
            <w:tcW w:type="dxa" w:w="3213"/>
            <w:vAlign w:val="center"/>
          </w:tcPr>
          <w:p>
            <w:r>
              <w:t>Контекст ИИ</w:t>
            </w:r>
          </w:p>
        </w:tc>
        <w:tc>
          <w:tcPr>
            <w:tcW w:type="dxa" w:w="3213"/>
            <w:vAlign w:val="center"/>
          </w:tcPr>
          <w:p>
            <w:r>
              <w:t>5, только если ИИ предложил этот тип и он уже входит в предпочтения правил. Иначе 0.</w:t>
            </w:r>
          </w:p>
        </w:tc>
        <w:tc>
          <w:tcPr>
            <w:tcW w:type="dxa" w:w="3213"/>
            <w:vAlign w:val="center"/>
          </w:tcPr>
          <w:p>
            <w:r>
              <w:t>5</w:t>
            </w:r>
          </w:p>
        </w:tc>
      </w:tr>
    </w:tbl>
    <w:p/>
    <w:p>
      <w:r>
        <w:t>Оценочный платёж — аннуитет по запрошенной сумме и расчётному сроку при фиксированных 35% годовых. Это стресс-тест, а не ставка, ПСК или платёж по конкретному продукту.</w:t>
      </w:r>
    </w:p>
    <w:p>
      <w:pPr>
        <w:pStyle w:val="Heading1"/>
      </w:pPr>
      <w:r>
        <w:t>5. Роль ИИ и порядок карточек</w:t>
      </w:r>
    </w:p>
    <w:p>
      <w:r>
        <w:t>Yandex AI Studio получает ограниченный набор фактов профиля и может предложить не более двух типов инструмента с указанием полей-оснований. Сервер проверяет эти основания. ИИ не меняет обязательные фильтры, не добавляет предложения и не определяет вероятность одобрения. При ошибке ИИ ранжирование идёт по правилам.</w:t>
      </w:r>
    </w:p>
    <w:p>
      <w:r>
        <w:t>Карточки сортируются по сумме баллов по убыванию; при равенстве — по ID продукта. Метка: от 85 — «высокое соответствие», от 70 — «среднее соответствие», ниже 70 — «требует проверки». В карточке указываются конкретные банк и продукт, диапазоны суммы и ставки, объяснение баллов и предупреждения.</w:t>
      </w:r>
    </w:p>
    <w:p>
      <w:pPr>
        <w:pStyle w:val="Heading1"/>
      </w:pPr>
      <w:r>
        <w:t>6. Что рейтинг пока не учитывает</w:t>
      </w:r>
    </w:p>
    <w:p>
      <w:r>
        <w:t>Диапазон ставки показывается, но не входит в формулу. Выручка, юридическая форма и поле max_debt_to_revenue не участвуют в оценке; просрочка даёт только предупреждение. Первый транш и отсрочка поставщика формируют подсказки, но не отдельные баллы. Точный текст нестандартного агрографика сохраняется, однако без классификации ИИ сам по себе рейтинг не меняет.</w:t>
      </w:r>
    </w:p>
    <w:p>
      <w:r>
        <w:t>Условия 12 предложений внесены в seed-каталог и имеют статус unverified. Воркер проверяет доступность страниц банков, но не обновляет и не подтверждает ставки, лимиты и критерии. Баллы — соответствие текущей модели, не вероятность одобрения и не доказательство, что это самый дешёвый кредит на рынке.</w:t>
      </w:r>
    </w:p>
    <w:p>
      <w:r>
        <w:rPr>
          <w:b/>
        </w:rPr>
        <w:t xml:space="preserve">Источник реализации: </w:t>
      </w:r>
      <w:r>
        <w:t>app/matching.py, app/main.py, app/ai.py, app/seed.py, app/worker.py.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akimai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5A6F6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D60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D604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D60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