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102" w:rsidRPr="00607102" w:rsidRDefault="00607102" w:rsidP="00607102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Chi-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square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Test —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How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to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calculate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Chi-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square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using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Formula &amp; Python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Implementation</w:t>
      </w:r>
      <w:proofErr w:type="spellEnd"/>
    </w:p>
    <w:bookmarkEnd w:id="0"/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79282" cy="3524214"/>
            <wp:effectExtent l="0" t="0" r="0" b="635"/>
            <wp:docPr id="6" name="Imagen 6" descr="https://miro.medium.com/max/700/0*Q244BPUpUBtj-L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Q244BPUpUBtj-L5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900" cy="353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6071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Kelly </w:t>
        </w:r>
        <w:proofErr w:type="spellStart"/>
        <w:r w:rsidRPr="006071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Sikkema</w:t>
        </w:r>
        <w:proofErr w:type="spellEnd"/>
      </w:hyperlink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"https://unsplash.com/?utm_source=medium&amp;utm_medium=referral" \t "_blank" </w:instrText>
      </w:r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60710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1.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Type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of Test</w:t>
      </w:r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non-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parametric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test, i.e.,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normal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variance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assumptions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populations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samples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drawn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2.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Purpose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general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purpose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compare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discrete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data).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categorized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defective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/non-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defective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more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excellent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good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ideally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suited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data set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to be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compares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theoretically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3.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Scope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Non-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parametric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chi-square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powerful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parametric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i.e.,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reject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false.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application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areas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07102" w:rsidRPr="00607102" w:rsidRDefault="00607102" w:rsidP="00607102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chi-square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checking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goodness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fit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utilized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differences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(experimental)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theoretical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establishes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remains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similar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past</w:t>
      </w:r>
      <w:proofErr w:type="spellEnd"/>
    </w:p>
    <w:p w:rsidR="00607102" w:rsidRPr="00607102" w:rsidRDefault="00607102" w:rsidP="00607102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test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independence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check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characteristics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determine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outcome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 (Y)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associated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predictor variable (X)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4.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Assumptions</w:t>
      </w:r>
      <w:proofErr w:type="spellEnd"/>
    </w:p>
    <w:p w:rsidR="00607102" w:rsidRPr="00607102" w:rsidRDefault="00607102" w:rsidP="00607102">
      <w:pPr>
        <w:numPr>
          <w:ilvl w:val="0"/>
          <w:numId w:val="2"/>
        </w:numPr>
        <w:shd w:val="clear" w:color="auto" w:fill="FFFFFF"/>
        <w:spacing w:before="226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sample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drawn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randomly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generalize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entire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population</w:t>
      </w:r>
      <w:proofErr w:type="spellEnd"/>
    </w:p>
    <w:p w:rsidR="00607102" w:rsidRPr="00607102" w:rsidRDefault="00607102" w:rsidP="0060710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be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reported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percentages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607102" w:rsidRPr="00607102" w:rsidRDefault="00607102" w:rsidP="0060710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Observations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independent</w:t>
      </w:r>
      <w:proofErr w:type="spellEnd"/>
    </w:p>
    <w:p w:rsidR="00607102" w:rsidRPr="00607102" w:rsidRDefault="00607102" w:rsidP="0060710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Variables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mutually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exclusive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individuals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cannot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assigned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more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and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exhaustive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include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possible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contexts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607102" w:rsidRPr="00607102" w:rsidRDefault="00607102" w:rsidP="00607102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small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must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relatively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) in a 2 x 2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; Chi-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20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individual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5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5.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Methodology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Several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chi-square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collection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tests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required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We’ll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look at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simplest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2 x 2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contingency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Suppose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conducted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pharmaceutical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trial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suffering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Multiple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Myeloma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hypothesized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receiving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show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increased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compared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Let’s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assume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96535" cy="1877317"/>
            <wp:effectExtent l="0" t="0" r="0" b="8890"/>
            <wp:docPr id="5" name="Imagen 5" descr="https://miro.medium.com/max/700/1*McxoKXedUudBVQEKB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McxoKXedUudBVQEKBER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01" cy="18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Helvetica" w:eastAsia="Times New Roman" w:hAnsi="Helvetica" w:cs="Helvetica"/>
          <w:sz w:val="24"/>
          <w:szCs w:val="24"/>
          <w:lang w:eastAsia="es-ES"/>
        </w:rPr>
        <w:t>Figure 1.</w:t>
      </w:r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Contingency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hypothetical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Autor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H0 (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):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equal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depart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from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), i.e.,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treatment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affect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proportion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HA (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Alternate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):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proportion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connected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treatment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demonstrating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contexts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depart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).</w:t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02785" cy="750570"/>
            <wp:effectExtent l="0" t="0" r="0" b="0"/>
            <wp:docPr id="4" name="Imagen 4" descr="https://miro.medium.com/max/473/1*UEM-kTaj_nr6cMocjDbH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473/1*UEM-kTaj_nr6cMocjDbHx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Helvetica" w:eastAsia="Times New Roman" w:hAnsi="Helvetica" w:cs="Helvetica"/>
          <w:sz w:val="24"/>
          <w:szCs w:val="24"/>
          <w:lang w:eastAsia="es-ES"/>
        </w:rPr>
        <w:t>Figure 1.</w:t>
      </w:r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formula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Autor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Powerpoint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frequency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and </w:t>
      </w:r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E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frequency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6.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Calculating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Chi-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Square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Statistics</w:t>
      </w:r>
      <w:proofErr w:type="spellEnd"/>
    </w:p>
    <w:p w:rsidR="00607102" w:rsidRPr="00607102" w:rsidRDefault="00607102" w:rsidP="0060710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6.1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Calculating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Expected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Frequency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outlined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follows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07102" w:rsidRPr="00607102" w:rsidRDefault="00607102" w:rsidP="00607102">
      <w:pPr>
        <w:numPr>
          <w:ilvl w:val="0"/>
          <w:numId w:val="3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frequencies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cell’s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frequency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(E)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x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total)/</w:t>
      </w:r>
      <w:proofErr w:type="spellStart"/>
      <w:proofErr w:type="gram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grand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</w:t>
      </w:r>
    </w:p>
    <w:p w:rsidR="00607102" w:rsidRPr="00607102" w:rsidRDefault="00607102" w:rsidP="0060710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context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A? — 50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607102" w:rsidRPr="00607102" w:rsidRDefault="00607102" w:rsidP="0060710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lastRenderedPageBreak/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column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dependent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variable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are in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? — 66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607102" w:rsidRPr="00607102" w:rsidRDefault="00607102" w:rsidP="00607102">
      <w:pPr>
        <w:numPr>
          <w:ilvl w:val="0"/>
          <w:numId w:val="3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grand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represents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observations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e.g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total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participating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Study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— 105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)</w:t>
      </w:r>
    </w:p>
    <w:p w:rsidR="00607102" w:rsidRPr="00607102" w:rsidRDefault="00607102" w:rsidP="00607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0710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692650" cy="2372360"/>
            <wp:effectExtent l="0" t="0" r="0" b="8890"/>
            <wp:docPr id="3" name="Imagen 3" descr="https://miro.medium.com/max/705/1*McxoKXedUudBVQEKBE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5/1*McxoKXedUudBVQEKBE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07102">
        <w:rPr>
          <w:rFonts w:ascii="Segoe UI" w:eastAsia="Times New Roman" w:hAnsi="Segoe UI" w:cs="Segoe UI"/>
          <w:noProof/>
          <w:sz w:val="27"/>
          <w:szCs w:val="27"/>
          <w:lang w:eastAsia="es-ES"/>
        </w:rPr>
        <w:drawing>
          <wp:inline distT="0" distB="0" distL="0" distR="0">
            <wp:extent cx="4839335" cy="1776730"/>
            <wp:effectExtent l="0" t="0" r="0" b="0"/>
            <wp:docPr id="2" name="Imagen 2" descr="https://miro.medium.com/max/545/1*VAgglfs2gD0Jcv4mrFbg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545/1*VAgglfs2gD0Jcv4mrFbgL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07102">
        <w:rPr>
          <w:rFonts w:ascii="Helvetica" w:eastAsia="Times New Roman" w:hAnsi="Helvetica" w:cs="Helvetica"/>
          <w:sz w:val="27"/>
          <w:szCs w:val="27"/>
          <w:lang w:eastAsia="es-ES"/>
        </w:rPr>
        <w:t>Figure 3.</w:t>
      </w:r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 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Contingency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table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and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Expected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Value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using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hypothetical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data.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Image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—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Prepared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by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the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Autor </w:t>
      </w:r>
      <w:proofErr w:type="spellStart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>using</w:t>
      </w:r>
      <w:proofErr w:type="spellEnd"/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t xml:space="preserve"> Excel.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x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(50 x 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66)/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105 = 31.43. 2.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observed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frequency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(O)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reflects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actual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i.e.,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Drug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x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36.</w:t>
      </w:r>
    </w:p>
    <w:p w:rsidR="00607102" w:rsidRPr="00607102" w:rsidRDefault="00607102" w:rsidP="0060710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6.2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Calculating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Test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Statistics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Calculate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formula χ2=∑[(O-E)2/E].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  <w:t>χ2=(36–31.42)²/31.42 + (14–18..57)²/18.57 + (30–34.57)²/34.57 + (25–20.43)²/20.43 = 3.418</w:t>
      </w:r>
    </w:p>
    <w:p w:rsidR="00607102" w:rsidRPr="00607102" w:rsidRDefault="00607102" w:rsidP="0060710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6.3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Calculating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Degrees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Freedom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Degrees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freedom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(#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dependent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 — 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1)*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(#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— 1) =(2–1)(2–1)=1</w:t>
      </w:r>
    </w:p>
    <w:p w:rsidR="00607102" w:rsidRPr="00607102" w:rsidRDefault="00607102" w:rsidP="0060710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6.4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Odds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 Ratio</w:t>
      </w:r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measure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association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 × 2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contingency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occurs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parameter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important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π,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defined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be;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π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/(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1 − π).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nonnegative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1.0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failure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π = 0.75,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equal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0.75/0.25 = 3.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4.0,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times 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failure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22414" cy="1817558"/>
            <wp:effectExtent l="0" t="0" r="0" b="0"/>
            <wp:docPr id="1" name="Imagen 1" descr="https://miro.medium.com/max/700/1*XIJcMPpAWd3XVnHduwxY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XIJcMPpAWd3XVnHduwxY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409" cy="18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102" w:rsidRPr="00607102" w:rsidRDefault="00607102" w:rsidP="0060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7102">
        <w:rPr>
          <w:rFonts w:ascii="Helvetica" w:eastAsia="Times New Roman" w:hAnsi="Helvetica" w:cs="Helvetica"/>
          <w:sz w:val="24"/>
          <w:szCs w:val="24"/>
          <w:lang w:eastAsia="es-ES"/>
        </w:rPr>
        <w:t>Figure 4.</w:t>
      </w:r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Reference to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Odds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Ration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calculation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Prepared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Autor </w:t>
      </w:r>
      <w:proofErr w:type="spellStart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60710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Excel.</w:t>
      </w:r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Therefore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=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A) /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success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B).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36/14 = 2.57,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non-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30/25 =1.2.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i.e., 2.57/1.2 = 2.14.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2.14 times more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non-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Shortcut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calculate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ES"/>
        </w:rPr>
        <w:t xml:space="preserve"> ratio: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consider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not-treated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cell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represented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alphabet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br/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(A*D)/(B*C).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odds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ratio= (36*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25)/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(14*30) = 2.14.</w:t>
      </w:r>
    </w:p>
    <w:p w:rsidR="00607102" w:rsidRPr="00607102" w:rsidRDefault="00607102" w:rsidP="00607102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 xml:space="preserve">6.5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s-ES"/>
        </w:rPr>
        <w:t>Interpretation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Compare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χ2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χ2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determine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whether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reject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:</w:t>
      </w:r>
    </w:p>
    <w:p w:rsidR="00607102" w:rsidRPr="00607102" w:rsidRDefault="00607102" w:rsidP="00607102">
      <w:pPr>
        <w:numPr>
          <w:ilvl w:val="0"/>
          <w:numId w:val="4"/>
        </w:numPr>
        <w:shd w:val="clear" w:color="auto" w:fill="FFFFFF"/>
        <w:spacing w:before="51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χ2 &gt;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χ2, p ≤0.05 —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indicates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evidence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rejecting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equal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to a 5%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acceptable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error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experiments</w:t>
      </w:r>
      <w:proofErr w:type="spellEnd"/>
    </w:p>
    <w:p w:rsidR="00607102" w:rsidRPr="00607102" w:rsidRDefault="00607102" w:rsidP="00607102">
      <w:pPr>
        <w:numPr>
          <w:ilvl w:val="0"/>
          <w:numId w:val="4"/>
        </w:numPr>
        <w:shd w:val="clear" w:color="auto" w:fill="FFFFFF"/>
        <w:spacing w:before="274" w:after="0" w:line="420" w:lineRule="atLeast"/>
        <w:ind w:left="45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If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calculated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χ2 ≤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critical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χ2, p&gt; 0.05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indicates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statistical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evidence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supporting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rejecting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a 5%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obtain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result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chance,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exceeds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acceptable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of error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ES"/>
        </w:rPr>
        <w:t>experiment</w:t>
      </w:r>
      <w:proofErr w:type="spellEnd"/>
    </w:p>
    <w:p w:rsidR="00607102" w:rsidRPr="00607102" w:rsidRDefault="00607102" w:rsidP="006071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 xml:space="preserve">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chi-square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statistic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( χ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2 = 3.418),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predetermined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alpha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(0.05),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degrees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freedom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df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= 1).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Entering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distribution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1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degree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freedom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reading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along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row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χ2 (3.418)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2.706 and 3.841.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corresponding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probability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0.07.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accepted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level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0.05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95%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Confidence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Interval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(CI) (i.e., p &gt; 0.05);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enough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evidence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reject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terms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proportions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remission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treatment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groups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looked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link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below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lang w:eastAsia="es-ES"/>
        </w:rPr>
      </w:pPr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fldChar w:fldCharType="begin"/>
      </w:r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instrText xml:space="preserve"> HYPERLINK "https://people.richland.edu/james/lecture/m170/tbl-chi.html" \t "_blank" </w:instrText>
      </w:r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fldChar w:fldCharType="separate"/>
      </w:r>
    </w:p>
    <w:p w:rsidR="00607102" w:rsidRPr="00607102" w:rsidRDefault="00607102" w:rsidP="00607102">
      <w:pPr>
        <w:shd w:val="clear" w:color="auto" w:fill="FFFFFF"/>
        <w:spacing w:after="0" w:line="300" w:lineRule="atLeast"/>
        <w:outlineLvl w:val="1"/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</w:pP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Table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: Chi-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Square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sz w:val="24"/>
          <w:szCs w:val="24"/>
          <w:lang w:eastAsia="es-ES"/>
        </w:rPr>
        <w:t>Probabilities</w:t>
      </w:r>
      <w:proofErr w:type="spellEnd"/>
    </w:p>
    <w:p w:rsidR="00607102" w:rsidRPr="00607102" w:rsidRDefault="00607102" w:rsidP="00607102">
      <w:pPr>
        <w:shd w:val="clear" w:color="auto" w:fill="FFFFFF"/>
        <w:spacing w:after="0" w:line="300" w:lineRule="atLeast"/>
        <w:outlineLvl w:val="2"/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</w:pP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areas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given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across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top are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areas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to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right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of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critical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value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. To look up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an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area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on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the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left</w:t>
      </w:r>
      <w:proofErr w:type="spellEnd"/>
      <w:r w:rsidRPr="00607102">
        <w:rPr>
          <w:rFonts w:ascii="Helvetica" w:eastAsia="Times New Roman" w:hAnsi="Helvetica" w:cs="Helvetica"/>
          <w:color w:val="757575"/>
          <w:sz w:val="24"/>
          <w:szCs w:val="24"/>
          <w:lang w:eastAsia="es-ES"/>
        </w:rPr>
        <w:t>…</w:t>
      </w:r>
    </w:p>
    <w:p w:rsidR="00607102" w:rsidRPr="00607102" w:rsidRDefault="00607102" w:rsidP="0060710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</w:pPr>
      <w:r w:rsidRPr="00607102">
        <w:rPr>
          <w:rFonts w:ascii="Helvetica" w:eastAsia="Times New Roman" w:hAnsi="Helvetica" w:cs="Helvetica"/>
          <w:color w:val="757575"/>
          <w:sz w:val="20"/>
          <w:szCs w:val="20"/>
          <w:lang w:eastAsia="es-ES"/>
        </w:rPr>
        <w:t>people.richland.edu</w:t>
      </w:r>
    </w:p>
    <w:p w:rsidR="00607102" w:rsidRPr="00607102" w:rsidRDefault="00607102" w:rsidP="00607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s-ES"/>
        </w:rPr>
      </w:pPr>
      <w:r w:rsidRPr="00607102">
        <w:rPr>
          <w:rFonts w:ascii="Segoe UI" w:eastAsia="Times New Roman" w:hAnsi="Segoe UI" w:cs="Segoe UI"/>
          <w:sz w:val="27"/>
          <w:szCs w:val="27"/>
          <w:lang w:eastAsia="es-ES"/>
        </w:rPr>
        <w:fldChar w:fldCharType="end"/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7.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Implementation</w:t>
      </w:r>
      <w:proofErr w:type="spellEnd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in Python</w:t>
      </w:r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Select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columns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crosstab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cross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chi2_</w:t>
      </w:r>
      <w:proofErr w:type="gram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contingency(</w:t>
      </w:r>
      <w:proofErr w:type="gram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value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rejecting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accepting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hypothesis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607102" w:rsidRPr="00607102" w:rsidRDefault="00607102" w:rsidP="006071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es-ES"/>
        </w:rPr>
      </w:pP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#----------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step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1: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Extract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required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ideally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should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be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two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columns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at a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timedata_interim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df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[['column1', 'column2']]#----------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step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2: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Create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cross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tab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which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a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contigency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tabledata_cont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=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pd.crosstab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data_interim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['column1'],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data_interim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['column2'])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data_contfrom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scipy.stats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import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chi2_contingencystat, p,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dof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,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expected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chi2_contingency(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data_cont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)#-----------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interpret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p-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alpha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= 0.05print("p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value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" +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str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(p))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if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p &lt;=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alpha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('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Dependent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(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reject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H0)')</w:t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lastRenderedPageBreak/>
        <w:t xml:space="preserve">    </w:t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else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:</w:t>
      </w:r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br/>
        <w:t xml:space="preserve">   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print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('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Independent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(H0 </w:t>
      </w:r>
      <w:proofErr w:type="spellStart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>holds</w:t>
      </w:r>
      <w:proofErr w:type="spellEnd"/>
      <w:r w:rsidRPr="0060710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s-ES"/>
        </w:rPr>
        <w:t xml:space="preserve"> true)')</w:t>
      </w:r>
    </w:p>
    <w:p w:rsidR="00607102" w:rsidRPr="00607102" w:rsidRDefault="00607102" w:rsidP="00607102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8. </w:t>
      </w:r>
      <w:proofErr w:type="spellStart"/>
      <w:r w:rsidRPr="00607102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</w:t>
      </w:r>
      <w:proofErr w:type="spellEnd"/>
    </w:p>
    <w:p w:rsidR="00607102" w:rsidRPr="00607102" w:rsidRDefault="00607102" w:rsidP="00607102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In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pharmaceutical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landscape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especially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physician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sales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correlation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specifically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attributes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pharmaceutical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landscape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range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target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segments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patient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load,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gender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demographics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outcomes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quality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discussion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sales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visit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more.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examine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fewer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categories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Chi-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square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test can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establish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relationships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variables,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return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dive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deep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variables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drivers of </w:t>
      </w:r>
      <w:proofErr w:type="spellStart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choice</w:t>
      </w:r>
      <w:proofErr w:type="spellEnd"/>
      <w:r w:rsidRPr="006071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5234C6" w:rsidRDefault="005234C6"/>
    <w:sectPr w:rsidR="00523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D63"/>
    <w:multiLevelType w:val="multilevel"/>
    <w:tmpl w:val="E394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56497"/>
    <w:multiLevelType w:val="multilevel"/>
    <w:tmpl w:val="6C7C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92B03"/>
    <w:multiLevelType w:val="multilevel"/>
    <w:tmpl w:val="7714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85A3C"/>
    <w:multiLevelType w:val="multilevel"/>
    <w:tmpl w:val="EF36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02"/>
    <w:rsid w:val="005234C6"/>
    <w:rsid w:val="0060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7DD1C-4245-4C5B-AEAA-339D9FD5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7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07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07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710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0710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0710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607102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07102"/>
    <w:rPr>
      <w:b/>
      <w:bCs/>
    </w:rPr>
  </w:style>
  <w:style w:type="character" w:styleId="nfasis">
    <w:name w:val="Emphasis"/>
    <w:basedOn w:val="Fuentedeprrafopredeter"/>
    <w:uiPriority w:val="20"/>
    <w:qFormat/>
    <w:rsid w:val="00607102"/>
    <w:rPr>
      <w:i/>
      <w:iCs/>
    </w:rPr>
  </w:style>
  <w:style w:type="paragraph" w:customStyle="1" w:styleId="bd">
    <w:name w:val="bd"/>
    <w:basedOn w:val="Normal"/>
    <w:rsid w:val="00607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10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wi">
    <w:name w:val="wi"/>
    <w:basedOn w:val="Fuentedeprrafopredeter"/>
    <w:rsid w:val="0060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693">
          <w:marLeft w:val="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054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22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89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kellysikkema?utm_source=medium&amp;utm_medium=referra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1431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2022-12-15T18:46:00Z</dcterms:created>
  <dcterms:modified xsi:type="dcterms:W3CDTF">2022-12-15T18:50:00Z</dcterms:modified>
</cp:coreProperties>
</file>