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1F7F8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Stand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as a Data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Analyst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: Focus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 xml:space="preserve"> 5 Key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  <w14:ligatures w14:val="none"/>
        </w:rPr>
        <w:t>Themes</w:t>
      </w:r>
      <w:proofErr w:type="spellEnd"/>
    </w:p>
    <w:p w14:paraId="40F2CA3F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SQL, Python, and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other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technical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skills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critical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only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half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battle</w:t>
      </w:r>
      <w:proofErr w:type="spellEnd"/>
    </w:p>
    <w:p w14:paraId="4515FCE3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Introduction</w:t>
      </w:r>
      <w:proofErr w:type="spellEnd"/>
    </w:p>
    <w:p w14:paraId="77936189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?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reflect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experiences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answer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opposed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mastery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domain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6C11B323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combined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habits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described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below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anyone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care,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incorporate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similar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behaviors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workflows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through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separately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clarity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music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domain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underlying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takeaways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applicable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industries.</w:t>
      </w:r>
    </w:p>
    <w:p w14:paraId="7E1234FB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(1) Individual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Processes</w:t>
      </w:r>
      <w:proofErr w:type="spellEnd"/>
    </w:p>
    <w:p w14:paraId="1B877759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limited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bandwidth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seemingly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endless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incoming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themselves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constant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cycle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jumping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operational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6FA560B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Standout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aware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pattern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jump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efficiency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afraid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invest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upfront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3CC3AD20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executive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regularly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moved up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9D58941" w14:textId="77777777" w:rsidR="00A5593E" w:rsidRPr="00A5593E" w:rsidRDefault="00A5593E" w:rsidP="00A55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looks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streams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dropped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yesterday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accurate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happened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?”</w:t>
      </w:r>
    </w:p>
    <w:p w14:paraId="4FFF5A47" w14:textId="77777777" w:rsidR="00A5593E" w:rsidRPr="00A5593E" w:rsidRDefault="00A5593E" w:rsidP="00A55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“I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looking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at a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view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listener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trend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past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noticed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extreme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scattered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throughout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happened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those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dates?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Apologies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short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notice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upcoming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meeting. Can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please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back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me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tomorrow</w:t>
      </w:r>
      <w:proofErr w:type="spellEnd"/>
      <w:proofErr w:type="gram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? ”</w:t>
      </w:r>
      <w:proofErr w:type="gramEnd"/>
    </w:p>
    <w:p w14:paraId="12374391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two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instances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D27C91F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Explain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why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changed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more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expected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please</w:t>
      </w:r>
      <w:proofErr w:type="spellEnd"/>
      <w:proofErr w:type="gram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! )</w:t>
      </w:r>
      <w:proofErr w:type="gramEnd"/>
    </w:p>
    <w:p w14:paraId="2A5B93FD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Because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savvy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recognize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decide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up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assist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recurring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type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</w:t>
      </w:r>
    </w:p>
    <w:p w14:paraId="16490FC7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#1</w:t>
      </w:r>
    </w:p>
    <w:p w14:paraId="0BEF07FC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 simple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spreadsheet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following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updated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fashion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6C11F4FC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a)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business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</w:p>
    <w:p w14:paraId="07F0485C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b) Day-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-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percentage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5" w:tgtFrame="_blank" w:history="1"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z-scores</w:t>
        </w:r>
      </w:hyperlink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technique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check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)</w:t>
      </w:r>
    </w:p>
    <w:p w14:paraId="2814989C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c) A “Notes”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column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manually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comments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future.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use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external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(s)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date.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Internal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engineering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issue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: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mobile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app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4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hours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negatively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impacting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listener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stream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counts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.”</w:t>
      </w:r>
    </w:p>
    <w:p w14:paraId="392F7270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#2</w:t>
      </w:r>
    </w:p>
    <w:p w14:paraId="6C45FD63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begin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developing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simple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repeatedly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use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narrow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down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potential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reasons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behind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made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standard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responses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guide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next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step.</w:t>
      </w:r>
    </w:p>
    <w:p w14:paraId="5416C2D6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flow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won’t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perfect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serve as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good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framework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progress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iterating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</w:t>
      </w:r>
    </w:p>
    <w:p w14:paraId="083D7FF6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Here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A62A947" w14:textId="1BAF9C5C" w:rsidR="00A5593E" w:rsidRPr="00A5593E" w:rsidRDefault="00A5593E" w:rsidP="00A55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592054B" wp14:editId="7A47485A">
            <wp:extent cx="5400040" cy="3039745"/>
            <wp:effectExtent l="0" t="0" r="0" b="8255"/>
            <wp:docPr id="1115936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4E95F" w14:textId="77777777" w:rsidR="00A5593E" w:rsidRPr="00A5593E" w:rsidRDefault="00A5593E" w:rsidP="00A5593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Image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Author</w:t>
      </w:r>
      <w:proofErr w:type="spellEnd"/>
    </w:p>
    <w:p w14:paraId="3579E6E3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section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share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quote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James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Clear’s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book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Atomic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>Habits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articulates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“Individual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209B523B" w14:textId="77777777" w:rsidR="00A5593E" w:rsidRPr="00A5593E" w:rsidRDefault="00A5593E" w:rsidP="00A5593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“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do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rise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level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goals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fall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level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systems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.”</w:t>
      </w:r>
    </w:p>
    <w:p w14:paraId="01AE6B04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(2)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Knowing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20</w:t>
      </w:r>
    </w:p>
    <w:p w14:paraId="1B4C3A2B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hyperlink r:id="rId7" w:tgtFrame="_blank" w:history="1"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 xml:space="preserve">Pareto </w:t>
        </w:r>
        <w:proofErr w:type="spellStart"/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Principle</w:t>
        </w:r>
        <w:proofErr w:type="spellEnd"/>
      </w:hyperlink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80/20 rule.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simplest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highlights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outsized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final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objective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outcome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56604290" w14:textId="77777777" w:rsidR="00A5593E" w:rsidRPr="00A5593E" w:rsidRDefault="00A5593E" w:rsidP="00A5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80%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streams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20%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listeners</w:t>
      </w:r>
      <w:proofErr w:type="spellEnd"/>
    </w:p>
    <w:p w14:paraId="45E66EF8" w14:textId="77777777" w:rsidR="00A5593E" w:rsidRPr="00A5593E" w:rsidRDefault="00A5593E" w:rsidP="00A55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80%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20%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clients</w:t>
      </w:r>
      <w:proofErr w:type="spellEnd"/>
    </w:p>
    <w:p w14:paraId="343C0612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80 and 20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approximations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highlight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larger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principle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just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appropriate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evaluating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impactful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definitions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queries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critical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inside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time.</w:t>
      </w:r>
    </w:p>
    <w:p w14:paraId="7DC1C28B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who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quick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identify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20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take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time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deeply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, stand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.</w:t>
      </w: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recently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began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Subscriptions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customers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subscription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revenue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heavily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analytical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opinion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guidance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during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discussions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D513ED1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contribute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meaningfully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sessions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realize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fingertips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so fundamental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domain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up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discussion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together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think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and block 20–30 minutes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keep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until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underlying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insights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automatically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00E39632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20”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based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industry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Subscriptions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:</w:t>
      </w:r>
    </w:p>
    <w:p w14:paraId="3605AD78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gram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Total</w:t>
      </w:r>
      <w:proofErr w:type="gram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subscribers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one-year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trend</w:t>
      </w:r>
      <w:proofErr w:type="spellEnd"/>
    </w:p>
    <w:p w14:paraId="12DC9C01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Top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markets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subscribers</w:t>
      </w:r>
      <w:proofErr w:type="spellEnd"/>
    </w:p>
    <w:p w14:paraId="34599546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Top 5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subscription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e.g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Student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Plan,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Annual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Family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Plan, etc.)</w:t>
      </w:r>
    </w:p>
    <w:p w14:paraId="6BC08022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new,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returning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reactivated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subscribers</w:t>
      </w:r>
      <w:proofErr w:type="spellEnd"/>
    </w:p>
    <w:p w14:paraId="53009328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Retention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(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churn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)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plans</w:t>
      </w:r>
      <w:proofErr w:type="spellEnd"/>
    </w:p>
    <w:p w14:paraId="581A5AA5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Free Trial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</w:p>
    <w:p w14:paraId="0614421D" w14:textId="77777777" w:rsidR="00A5593E" w:rsidRPr="00A5593E" w:rsidRDefault="00A5593E" w:rsidP="00A55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Financial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hyperlink r:id="rId8" w:tgtFrame="_blank" w:history="1"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CAC</w:t>
        </w:r>
      </w:hyperlink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hyperlink r:id="rId9" w:tgtFrame="_blank" w:history="1"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LTV</w:t>
        </w:r>
      </w:hyperlink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hyperlink r:id="rId10" w:tgtFrame="_blank" w:history="1">
        <w:r w:rsidRPr="00A55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ES"/>
            <w14:ligatures w14:val="none"/>
          </w:rPr>
          <w:t>ARPU</w:t>
        </w:r>
      </w:hyperlink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subscriber</w:t>
      </w:r>
      <w:proofErr w:type="spellEnd"/>
    </w:p>
    <w:p w14:paraId="523901AA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glance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look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information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repetition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off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top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head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ballpark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levels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relative rankings.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actual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unlikely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drastically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serve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extended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</w:t>
      </w:r>
    </w:p>
    <w:p w14:paraId="7001BA43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should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dashboards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real-time.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occasion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necessary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harder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ahead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actively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participate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conversations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refer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document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Knowing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20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inside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help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avoid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and be more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present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.</w:t>
      </w:r>
    </w:p>
    <w:p w14:paraId="0D537E93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(3)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Anticipation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&amp;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Proactivity</w:t>
      </w:r>
      <w:proofErr w:type="spellEnd"/>
    </w:p>
    <w:p w14:paraId="572B85F9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scientists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quite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excited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predictions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nearly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exercising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predictive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planning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own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days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pulse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items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haven’t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</w:t>
      </w:r>
      <w:r w:rsidRPr="00A55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likely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BBF809E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anticipate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proactively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share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model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email,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trust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credibility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straightforward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example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Suppose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automated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multiple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track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growth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engagement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several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pause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ongoing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3CB5FB19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assume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around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Christmas,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remember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from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previous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seasonal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listeners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avoid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anxious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colleagues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explanation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after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fact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ahead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proactively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email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required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context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before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drop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place.</w:t>
      </w:r>
    </w:p>
    <w:p w14:paraId="2C6ED5C9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Communicating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seem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obvious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hindsight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often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doesn’t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happen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practice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great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incoming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requests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proactive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delivery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A simple shift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timing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action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dramatically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change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well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received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.</w:t>
      </w:r>
    </w:p>
    <w:p w14:paraId="330C427B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Anticipation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proactivity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two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sides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same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coin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anticipate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taking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proactive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no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external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impact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help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validate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thought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process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little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else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Similarly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proactive in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manner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useful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relevant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anticipation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85F46F1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(4)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Empathy</w:t>
      </w:r>
      <w:proofErr w:type="spellEnd"/>
    </w:p>
    <w:p w14:paraId="7A3178B8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already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written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communication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attention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prerequisite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communication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empathy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6F11DB5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value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empathetic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a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professional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overstated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stakeholder’s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priorities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points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strengths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weaknesses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increase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effectiveness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significantly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B0D941F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 xml:space="preserve">Imagine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a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Editorial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responsible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playlists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various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genres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moods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topics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head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department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reaches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— </w:t>
      </w:r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“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Hey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, can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please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share a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list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playlists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number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weekly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streams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listeners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?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Thank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s-ES"/>
          <w14:ligatures w14:val="none"/>
        </w:rPr>
        <w:t>!”</w:t>
      </w:r>
    </w:p>
    <w:p w14:paraId="52F874A1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Instead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jumping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right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into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 SQL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query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dashboard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dig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deeper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understand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underlying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motivation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behind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request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Through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clarifying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questions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further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conversation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becomes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clear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actually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trying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determine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playlists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repeat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listening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engagement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so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create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more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similarly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themed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es-ES"/>
          <w14:ligatures w14:val="none"/>
        </w:rPr>
        <w:t>playlists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209F18A3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deeper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understanding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team’s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decide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playlist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listener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retention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metrics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addition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Editor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focused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creating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playlists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specific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language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also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ability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filter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report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each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language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1280D805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situation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simply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providing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was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initially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asked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satisfactory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Editorial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resulted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inferior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product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empathetic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team’s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improved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quality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actionability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3EBF122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(5)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Consistent</w:t>
      </w:r>
      <w:proofErr w:type="spellEnd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Learning</w:t>
      </w:r>
      <w:proofErr w:type="spellEnd"/>
    </w:p>
    <w:p w14:paraId="3D8EA3D5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 am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responded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heard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someone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respond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interview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question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lines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“I am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quick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“I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don’t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 can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.”</w:t>
      </w:r>
    </w:p>
    <w:p w14:paraId="242FED3C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data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analysts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convey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build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expertise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a new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area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desire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curiosity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approach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differentiator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Individuals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treat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ongoing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journey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instead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occasional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ad-hoc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task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stand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extended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periods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their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knowledge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compound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5DACDBE1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many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completely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dependent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whether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however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gives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control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how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much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reliable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long-term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strategy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first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few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months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new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job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there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but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become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effective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</w:t>
      </w:r>
    </w:p>
    <w:p w14:paraId="4B7C32B6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contrast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“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always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”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mindset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mean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consistently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spending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small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amount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daily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weekly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getting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better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something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be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tied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doing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time.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makes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relationship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between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rigid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transactional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more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sustainable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over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years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certain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cases,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dictate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while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others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learn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influence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your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roadmap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work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6B24023" w14:textId="77777777" w:rsidR="00A5593E" w:rsidRPr="00A5593E" w:rsidRDefault="00A5593E" w:rsidP="00A55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</w:pPr>
      <w:proofErr w:type="spellStart"/>
      <w:r w:rsidRPr="00A55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ES"/>
          <w14:ligatures w14:val="none"/>
        </w:rPr>
        <w:t>Conclusion</w:t>
      </w:r>
      <w:proofErr w:type="spellEnd"/>
    </w:p>
    <w:p w14:paraId="2F537E9E" w14:textId="77777777" w:rsidR="00A5593E" w:rsidRPr="00A5593E" w:rsidRDefault="00A5593E" w:rsidP="00A55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summary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most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of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us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tend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do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well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staying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up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speed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tools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could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benefit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our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careers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important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as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that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,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not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enough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in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isolation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.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lastRenderedPageBreak/>
        <w:t>Combining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strong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technical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skill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set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with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habits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and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behaviors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across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five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themes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can be a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game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changer</w:t>
      </w:r>
      <w:proofErr w:type="spellEnd"/>
      <w:r w:rsidRPr="00A5593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.</w:t>
      </w:r>
    </w:p>
    <w:p w14:paraId="7D57552A" w14:textId="77777777" w:rsidR="00E13F31" w:rsidRDefault="00E13F31"/>
    <w:sectPr w:rsidR="00E13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330BE"/>
    <w:multiLevelType w:val="multilevel"/>
    <w:tmpl w:val="25C2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8E4DD8"/>
    <w:multiLevelType w:val="multilevel"/>
    <w:tmpl w:val="6010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496655"/>
    <w:multiLevelType w:val="multilevel"/>
    <w:tmpl w:val="55262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4980052">
    <w:abstractNumId w:val="2"/>
  </w:num>
  <w:num w:numId="2" w16cid:durableId="2126192440">
    <w:abstractNumId w:val="1"/>
  </w:num>
  <w:num w:numId="3" w16cid:durableId="1386099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93E"/>
    <w:rsid w:val="00050A9D"/>
    <w:rsid w:val="00173F6D"/>
    <w:rsid w:val="0027408F"/>
    <w:rsid w:val="00521679"/>
    <w:rsid w:val="00A5593E"/>
    <w:rsid w:val="00E1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9046"/>
  <w15:chartTrackingRefBased/>
  <w15:docId w15:val="{4EFB04C5-BA85-4113-A58A-84EC144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5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A55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593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5593E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A5593E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5593E"/>
    <w:rPr>
      <w:b/>
      <w:bCs/>
    </w:rPr>
  </w:style>
  <w:style w:type="paragraph" w:customStyle="1" w:styleId="pw-post-body-paragraph">
    <w:name w:val="pw-post-body-paragraph"/>
    <w:basedOn w:val="Normal"/>
    <w:rsid w:val="00A5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customStyle="1" w:styleId="ky">
    <w:name w:val="ky"/>
    <w:basedOn w:val="Normal"/>
    <w:rsid w:val="00A5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nfasis">
    <w:name w:val="Emphasis"/>
    <w:basedOn w:val="Fuentedeprrafopredeter"/>
    <w:uiPriority w:val="20"/>
    <w:qFormat/>
    <w:rsid w:val="00A5593E"/>
    <w:rPr>
      <w:i/>
      <w:iCs/>
    </w:rPr>
  </w:style>
  <w:style w:type="paragraph" w:customStyle="1" w:styleId="lm">
    <w:name w:val="lm"/>
    <w:basedOn w:val="Normal"/>
    <w:rsid w:val="00A55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8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96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ustomer_acquisition_c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Pareto_principl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Standard_score" TargetMode="External"/><Relationship Id="rId10" Type="http://schemas.openxmlformats.org/officeDocument/2006/relationships/hyperlink" Target="https://en.wikipedia.org/wiki/Average_revenue_per_u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ustomer_lifetime_valu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1905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Wong</dc:creator>
  <cp:keywords/>
  <dc:description/>
  <cp:lastModifiedBy>Carlos Wong</cp:lastModifiedBy>
  <cp:revision>2</cp:revision>
  <dcterms:created xsi:type="dcterms:W3CDTF">2023-04-30T19:56:00Z</dcterms:created>
  <dcterms:modified xsi:type="dcterms:W3CDTF">2023-04-30T20:42:00Z</dcterms:modified>
</cp:coreProperties>
</file>