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CA" w:rsidRPr="005568CA" w:rsidRDefault="005568CA" w:rsidP="005568CA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Three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Critical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Elements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of Data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Preprocessing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—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Part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2</w:t>
      </w:r>
    </w:p>
    <w:p w:rsidR="005568CA" w:rsidRPr="005568CA" w:rsidRDefault="005568CA" w:rsidP="005568CA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The</w:t>
      </w:r>
      <w:proofErr w:type="spellEnd"/>
      <w:r w:rsidRPr="005568CA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backbone</w:t>
      </w:r>
      <w:proofErr w:type="spellEnd"/>
      <w:r w:rsidRPr="005568CA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of </w:t>
      </w:r>
      <w:proofErr w:type="spellStart"/>
      <w:r w:rsidRPr="005568CA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modeling</w:t>
      </w:r>
      <w:proofErr w:type="spellEnd"/>
      <w:r w:rsidRPr="005568CA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in data </w:t>
      </w:r>
      <w:proofErr w:type="spellStart"/>
      <w:r w:rsidRPr="005568CA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science</w:t>
      </w:r>
      <w:proofErr w:type="spellEnd"/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bookmarkStart w:id="0" w:name="_GoBack"/>
      <w:bookmarkEnd w:id="0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steps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life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cycle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converting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refined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amenable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692650" cy="4658360"/>
            <wp:effectExtent l="0" t="0" r="0" b="8890"/>
            <wp:docPr id="4" name="Imagen 4" descr="https://miro.medium.com/max/493/1*68QtVs-0kgPpiOZDN4d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93/1*68QtVs-0kgPpiOZDN4dSj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series, I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combining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disparate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sources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obtain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available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relevant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link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found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component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perhaps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purposes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addition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share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tackling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sections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434558" cy="2249693"/>
            <wp:effectExtent l="0" t="0" r="0" b="0"/>
            <wp:docPr id="3" name="Imagen 3" descr="https://miro.medium.com/max/700/1*VnOjZ2THb53CGn_x3xRe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VnOjZ2THb53CGn_x3xRep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32" cy="22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</w:p>
    <w:p w:rsidR="005568CA" w:rsidRPr="005568CA" w:rsidRDefault="005568CA" w:rsidP="005568CA">
      <w:pPr>
        <w:shd w:val="clear" w:color="auto" w:fill="FFFFFF"/>
        <w:spacing w:before="492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5568C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Data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Cleaning</w:t>
      </w:r>
      <w:proofErr w:type="spellEnd"/>
    </w:p>
    <w:p w:rsidR="005568CA" w:rsidRPr="005568CA" w:rsidRDefault="005568CA" w:rsidP="005568C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identifying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removing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correcting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corrupted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collected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noProof/>
          <w:sz w:val="27"/>
          <w:szCs w:val="27"/>
          <w:lang w:eastAsia="es-ES"/>
        </w:rPr>
        <w:lastRenderedPageBreak/>
        <w:drawing>
          <wp:inline distT="0" distB="0" distL="0" distR="0">
            <wp:extent cx="4718685" cy="3407410"/>
            <wp:effectExtent l="0" t="0" r="5715" b="2540"/>
            <wp:docPr id="2" name="Imagen 2" descr="https://miro.medium.com/max/495/1*EBU2Ncp2mg6jZSzgF_Q4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495/1*EBU2Ncp2mg6jZSzgF_Q46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author</w:t>
      </w:r>
      <w:proofErr w:type="spellEnd"/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machine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algorithms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can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make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break a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Although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time-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consuming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yields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benefits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receives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Hence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,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generating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cleaner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is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better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than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spending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more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computing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power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and time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tuning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sophisticated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algorithms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consists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tasks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568CA" w:rsidRPr="005568CA" w:rsidRDefault="005568CA" w:rsidP="005568C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Correcting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structural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errors</w:t>
      </w:r>
      <w:proofErr w:type="spellEnd"/>
    </w:p>
    <w:p w:rsidR="005568CA" w:rsidRPr="005568CA" w:rsidRDefault="005568CA" w:rsidP="005568C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identifying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fixing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inconsistencies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labeled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capitalization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target variables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assigned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latter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domain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uncover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value_counts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Pandas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DataFrame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investigate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labels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bar chart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unique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label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visual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inspection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inconsistencies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 </w:t>
      </w:r>
      <w:hyperlink r:id="rId7" w:anchor=":~:text=Data%20cleaning%20is%20the%20process,to%20be%20duplicated%20or%20mislabeled" w:tgtFrame="_blank" w:history="1">
        <w:r w:rsidRPr="005568C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https://www.tableau.com/learn/articles/what-is-data-cleaning#:~:text=Data%20cleaning%20is%20the%20process,to%20be%20duplicated%20or%20mislabeled</w:t>
        </w:r>
      </w:hyperlink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Pandas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 </w:t>
      </w:r>
      <w:hyperlink r:id="rId8" w:tgtFrame="_blank" w:history="1">
        <w:r w:rsidRPr="005568C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https://pandas.pydata.org/pandas-docs/stable/reference/api/pandas.DataFrame.value_counts.html</w:t>
        </w:r>
      </w:hyperlink>
    </w:p>
    <w:p w:rsidR="005568CA" w:rsidRPr="005568CA" w:rsidRDefault="005568CA" w:rsidP="005568C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Handling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missing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values</w:t>
      </w:r>
      <w:proofErr w:type="spellEnd"/>
    </w:p>
    <w:p w:rsidR="005568CA" w:rsidRPr="005568CA" w:rsidRDefault="005568CA" w:rsidP="005568C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prevalence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dealt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removed.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suggest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dropping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percentage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” (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&lt; 5%)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overall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available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Similarly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 xml:space="preserve">more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95%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dropped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although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thresholds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changed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domain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occur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forms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(1) 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completely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(MCAR): </w:t>
      </w: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independent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unobserved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introduce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bias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removed.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proportion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(2) 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(MAR): 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gender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occur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introduce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bias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imputed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interpolation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(3) 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random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(MNAR):</w:t>
      </w: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 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case,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unobserved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insights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more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biased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non-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ignorable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cannot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imputed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standard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problematic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class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MNAR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structurally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analyzable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"https://www.ncbi.nlm.nih.gov/books/NBK493614/" \t "_blank" </w:instrText>
      </w: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5568CA" w:rsidRPr="005568CA" w:rsidRDefault="005568CA" w:rsidP="005568CA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lastRenderedPageBreak/>
        <w:t>Types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of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Missing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Data</w:t>
      </w:r>
    </w:p>
    <w:p w:rsidR="005568CA" w:rsidRPr="005568CA" w:rsidRDefault="005568CA" w:rsidP="005568CA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While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complete case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analysis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a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dataset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MCAR data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is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unbiased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,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there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is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a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common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misperception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that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complete…</w:t>
      </w:r>
    </w:p>
    <w:p w:rsidR="005568CA" w:rsidRPr="005568CA" w:rsidRDefault="005568CA" w:rsidP="005568C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5568CA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www.ncbi.nlm.nih.gov</w:t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</w:pP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"https://argoshare.is.ed.ac.uk/healthyr_book/handling-missing-data-mcar.html" \t "_blank" </w:instrText>
      </w: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5568CA" w:rsidRPr="005568CA" w:rsidRDefault="005568CA" w:rsidP="005568CA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11.7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Handling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missing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data: MCAR | R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for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Health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Data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Science</w:t>
      </w:r>
      <w:proofErr w:type="spellEnd"/>
    </w:p>
    <w:p w:rsidR="005568CA" w:rsidRPr="005568CA" w:rsidRDefault="005568CA" w:rsidP="005568CA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Prior to a standard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regression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analysis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,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can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either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: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Delete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variable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missing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data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Delete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cases </w:t>
      </w:r>
      <w:proofErr w:type="spellStart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with</w:t>
      </w:r>
      <w:proofErr w:type="spellEnd"/>
      <w:r w:rsidRPr="005568CA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…</w:t>
      </w:r>
    </w:p>
    <w:p w:rsidR="005568CA" w:rsidRPr="005568CA" w:rsidRDefault="005568CA" w:rsidP="005568C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5568CA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argoshare.is.ed.ac.uk</w:t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5568CA" w:rsidRPr="005568CA" w:rsidRDefault="005568CA" w:rsidP="005568C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Tackling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outliers</w:t>
      </w:r>
      <w:proofErr w:type="spellEnd"/>
    </w:p>
    <w:p w:rsidR="005568CA" w:rsidRPr="005568CA" w:rsidRDefault="005568CA" w:rsidP="005568C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outside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variable.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subjective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field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investigation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handling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outright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elimination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clipping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certain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threshold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estimating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actual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treating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noise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distracts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data’s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real-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Eliminating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 “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good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”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outlier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may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jeopardize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the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cleaning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process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and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result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in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unrepresentative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 xml:space="preserve"> data </w:t>
      </w:r>
      <w:proofErr w:type="spellStart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models</w:t>
      </w:r>
      <w:proofErr w:type="spellEnd"/>
      <w:r w:rsidRPr="005568CA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595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Domain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knowledge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consultation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spot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?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: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(1) </w:t>
      </w:r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visualizations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Boxplots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histograms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useful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identifying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plotting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tools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Seaborn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Tableau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Power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BI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functionality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graphs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5365930" cy="2132405"/>
            <wp:effectExtent l="0" t="0" r="6350" b="1270"/>
            <wp:docPr id="1" name="Imagen 1" descr="https://miro.medium.com/max/640/1*AU07MCIdvUnjskY1XH9a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40/1*AU07MCIdvUnjskY1XH9au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73" cy="21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CA" w:rsidRPr="005568CA" w:rsidRDefault="005568CA" w:rsidP="005568C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Original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photo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"https://upload.wikimedia.org/wikipedia/commons/b/b1/Elements_of_a_boxplot.svg" \t "_blank" </w:instrText>
      </w: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  <w:r w:rsidRPr="005568CA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es-ES"/>
        </w:rPr>
        <w:t>RobSeb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 (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language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changed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hyperlink r:id="rId10" w:tgtFrame="_blank" w:history="1">
        <w:r w:rsidRPr="005568C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Ruediger85</w:t>
        </w:r>
      </w:hyperlink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), </w:t>
      </w:r>
      <w:hyperlink r:id="rId11" w:tgtFrame="_blank" w:history="1">
        <w:r w:rsidRPr="005568C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es-ES"/>
          </w:rPr>
          <w:t>CC-BY-SA-3.0</w:t>
        </w:r>
      </w:hyperlink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,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via</w:t>
      </w:r>
      <w:proofErr w:type="spellEnd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5568CA">
        <w:rPr>
          <w:rFonts w:ascii="Segoe UI" w:eastAsia="Times New Roman" w:hAnsi="Segoe UI" w:cs="Segoe UI"/>
          <w:sz w:val="27"/>
          <w:szCs w:val="27"/>
          <w:lang w:eastAsia="es-ES"/>
        </w:rPr>
        <w:t>Wikimedia</w:t>
      </w:r>
      <w:proofErr w:type="spellEnd"/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(2) </w:t>
      </w:r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Standard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deviation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thresholds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approximately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normally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+/ — x standard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deviations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mean.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x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 to 3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field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(3) 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Interquartile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thresholds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defined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outside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1.5 times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interquartile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(1.5*IQR)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positive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negative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directions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interquartile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distance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third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upper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quartile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lower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quartile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threshold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increased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3*IQR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extreme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(4) 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testing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presence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examples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Grubb’s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test,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Dixon’s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Q test,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Chi-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test.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no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alternative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, α (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0.05),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rejected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P-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test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α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inferred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exists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(5) 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Anomaly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 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supervised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unsupervised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built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typical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a variable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based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predictive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features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computationally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expensive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excessive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Resources</w:t>
      </w:r>
      <w:proofErr w:type="spellEnd"/>
      <w:r w:rsidRPr="005568C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s-ES"/>
        </w:rPr>
        <w:t>: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identifying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 </w:t>
      </w:r>
      <w:hyperlink r:id="rId12" w:tgtFrame="_blank" w:history="1">
        <w:r w:rsidRPr="005568C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https://statisticsbyjim.com/basics/outliers/</w:t>
        </w:r>
      </w:hyperlink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testing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outlier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detection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 </w:t>
      </w:r>
      <w:hyperlink r:id="rId13" w:tgtFrame="_blank" w:history="1">
        <w:r w:rsidRPr="005568CA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s-ES"/>
          </w:rPr>
          <w:t>https://www.dummies.com/article/technology/information-technology/data-science/big-data/hypothesis-tests-for-data-outliers-141226/</w:t>
        </w:r>
      </w:hyperlink>
    </w:p>
    <w:p w:rsidR="005568CA" w:rsidRPr="005568CA" w:rsidRDefault="005568CA" w:rsidP="005568C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lastRenderedPageBreak/>
        <w:t>Removal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wrong</w:t>
      </w:r>
      <w:proofErr w:type="spellEnd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observations</w:t>
      </w:r>
      <w:proofErr w:type="spellEnd"/>
    </w:p>
    <w:p w:rsidR="005568CA" w:rsidRPr="005568CA" w:rsidRDefault="005568CA" w:rsidP="005568C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integration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duplicated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corrupted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Eliminating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affected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helps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avoid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misrepresentation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patterns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issues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overfitting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during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wrong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points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can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significantly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performance.</w:t>
      </w:r>
    </w:p>
    <w:p w:rsidR="005568CA" w:rsidRPr="005568CA" w:rsidRDefault="005568CA" w:rsidP="005568C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5568C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Conclusions</w:t>
      </w:r>
      <w:proofErr w:type="spellEnd"/>
    </w:p>
    <w:p w:rsidR="005568CA" w:rsidRPr="005568CA" w:rsidRDefault="005568CA" w:rsidP="005568CA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covered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cleaning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element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preprocessing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As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seen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quite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involved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pays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dividend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performance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improvement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In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final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article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series, I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discuss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transformation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reduction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strategies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.</w:t>
      </w:r>
    </w:p>
    <w:p w:rsidR="005568CA" w:rsidRPr="005568CA" w:rsidRDefault="005568CA" w:rsidP="005568CA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I hope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enjoyed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series so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far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until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next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time. </w:t>
      </w:r>
      <w:proofErr w:type="spellStart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Cheers</w:t>
      </w:r>
      <w:proofErr w:type="spellEnd"/>
      <w:r w:rsidRPr="005568C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!</w:t>
      </w:r>
    </w:p>
    <w:p w:rsidR="0066309E" w:rsidRDefault="0066309E"/>
    <w:sectPr w:rsidR="00663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CA"/>
    <w:rsid w:val="005568CA"/>
    <w:rsid w:val="0066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6EE96-B14C-498E-B6C5-A7500745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6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568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56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8C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568C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568C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568CA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55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d">
    <w:name w:val="bd"/>
    <w:basedOn w:val="Normal"/>
    <w:rsid w:val="0055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vj">
    <w:name w:val="vj"/>
    <w:basedOn w:val="Normal"/>
    <w:rsid w:val="0055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568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5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9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638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673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2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63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32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50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48336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81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192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3518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value_counts.html" TargetMode="External"/><Relationship Id="rId13" Type="http://schemas.openxmlformats.org/officeDocument/2006/relationships/hyperlink" Target="https://www.dummies.com/article/technology/information-technology/data-science/big-data/hypothesis-tests-for-data-outliers-141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ableau.com/learn/articles/what-is-data-cleaning" TargetMode="External"/><Relationship Id="rId12" Type="http://schemas.openxmlformats.org/officeDocument/2006/relationships/hyperlink" Target="https://statisticsbyjim.com/basics/outli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reativecommons.org/licenses/by-sa/3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ommons.wikimedia.org/wiki/File:Elements_of_a_boxplot_en.sv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1366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2023-01-03T02:35:00Z</dcterms:created>
  <dcterms:modified xsi:type="dcterms:W3CDTF">2023-01-03T02:37:00Z</dcterms:modified>
</cp:coreProperties>
</file>