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7" w:rsidRPr="00EF5617" w:rsidRDefault="00EF5617" w:rsidP="00EF561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When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a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Tough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Question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Puts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You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on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>the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pacing w:val="-2"/>
          <w:kern w:val="36"/>
          <w:sz w:val="48"/>
          <w:szCs w:val="48"/>
          <w:lang w:eastAsia="es-ES"/>
        </w:rPr>
        <w:t xml:space="preserve"> Spot</w:t>
      </w:r>
    </w:p>
    <w:bookmarkEnd w:id="0"/>
    <w:p w:rsidR="00EF5617" w:rsidRPr="00EF5617" w:rsidRDefault="00EF5617" w:rsidP="00EF5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by</w:t>
      </w:r>
      <w:proofErr w:type="spellEnd"/>
      <w:r w:rsidRPr="00EF5617">
        <w:rPr>
          <w:rFonts w:ascii="Helvetica" w:eastAsia="Times New Roman" w:hAnsi="Helvetica" w:cs="Helvetica"/>
          <w:color w:val="282828"/>
          <w:spacing w:val="-2"/>
          <w:sz w:val="24"/>
          <w:szCs w:val="24"/>
          <w:lang w:eastAsia="es-ES"/>
        </w:rPr>
        <w:t> </w:t>
      </w:r>
    </w:p>
    <w:p w:rsidR="00EF5617" w:rsidRPr="00EF5617" w:rsidRDefault="00EF5617" w:rsidP="00EF561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282828"/>
          <w:sz w:val="24"/>
          <w:szCs w:val="24"/>
          <w:lang w:eastAsia="es-ES"/>
        </w:rPr>
      </w:pPr>
      <w:hyperlink r:id="rId5" w:history="1">
        <w:r w:rsidRPr="00EF5617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 xml:space="preserve">Allison </w:t>
        </w:r>
        <w:proofErr w:type="spellStart"/>
        <w:r w:rsidRPr="00EF5617">
          <w:rPr>
            <w:rFonts w:ascii="inherit" w:eastAsia="Times New Roman" w:hAnsi="inherit" w:cs="Helvetica"/>
            <w:color w:val="282828"/>
            <w:spacing w:val="-2"/>
            <w:sz w:val="24"/>
            <w:szCs w:val="24"/>
            <w:u w:val="single"/>
            <w:lang w:eastAsia="es-ES"/>
          </w:rPr>
          <w:t>Shapira</w:t>
        </w:r>
        <w:proofErr w:type="spellEnd"/>
      </w:hyperlink>
    </w:p>
    <w:p w:rsidR="00EF5617" w:rsidRPr="00EF5617" w:rsidRDefault="00EF5617" w:rsidP="00EF5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</w:pPr>
      <w:proofErr w:type="spellStart"/>
      <w:r w:rsidRPr="00EF5617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>December</w:t>
      </w:r>
      <w:proofErr w:type="spellEnd"/>
      <w:r w:rsidRPr="00EF5617">
        <w:rPr>
          <w:rFonts w:ascii="Helvetica" w:eastAsia="Times New Roman" w:hAnsi="Helvetica" w:cs="Helvetica"/>
          <w:color w:val="A0A0A0"/>
          <w:spacing w:val="4"/>
          <w:sz w:val="24"/>
          <w:szCs w:val="24"/>
          <w:lang w:eastAsia="es-ES"/>
        </w:rPr>
        <w:t xml:space="preserve"> 19, 2022</w:t>
      </w:r>
    </w:p>
    <w:p w:rsidR="00EF5617" w:rsidRPr="00EF5617" w:rsidRDefault="00EF5617" w:rsidP="00EF5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r w:rsidRPr="00EF5617">
        <w:rPr>
          <w:rFonts w:ascii="Helvetica" w:eastAsia="Times New Roman" w:hAnsi="Helvetica" w:cs="Helvetica"/>
          <w:noProof/>
          <w:color w:val="282828"/>
          <w:sz w:val="24"/>
          <w:szCs w:val="24"/>
          <w:lang w:eastAsia="es-ES"/>
        </w:rPr>
        <w:drawing>
          <wp:inline distT="0" distB="0" distL="0" distR="0">
            <wp:extent cx="5326265" cy="2994840"/>
            <wp:effectExtent l="0" t="0" r="8255" b="0"/>
            <wp:docPr id="1" name="Imagen 1" descr="https://hbr.org/resources/images/article_assets/2022/12/Dec22_15_952323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br.org/resources/images/article_assets/2022/12/Dec22_15_9523231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29" cy="30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617" w:rsidRPr="00EF5617" w:rsidRDefault="00EF5617" w:rsidP="00EF561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seksan</w:t>
      </w:r>
      <w:proofErr w:type="spellEnd"/>
      <w:r w:rsidRPr="00EF5617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Mongkhonkhamsao</w:t>
      </w:r>
      <w:proofErr w:type="spellEnd"/>
      <w:r w:rsidRPr="00EF5617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/</w:t>
      </w:r>
      <w:proofErr w:type="spellStart"/>
      <w:r w:rsidRPr="00EF5617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Getty</w:t>
      </w:r>
      <w:proofErr w:type="spellEnd"/>
      <w:r w:rsidRPr="00EF5617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A0A0A0"/>
          <w:sz w:val="24"/>
          <w:szCs w:val="24"/>
          <w:lang w:eastAsia="es-ES"/>
        </w:rPr>
        <w:t>Images</w:t>
      </w:r>
      <w:proofErr w:type="spellEnd"/>
    </w:p>
    <w:p w:rsidR="00EF5617" w:rsidRPr="00EF5617" w:rsidRDefault="00EF5617" w:rsidP="00EF56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21"/>
          <w:szCs w:val="21"/>
          <w:lang w:eastAsia="es-ES"/>
        </w:rPr>
      </w:pPr>
      <w:proofErr w:type="spellStart"/>
      <w:r w:rsidRPr="00EF5617">
        <w:rPr>
          <w:rFonts w:ascii="Helvetica" w:eastAsia="Times New Roman" w:hAnsi="Helvetica" w:cs="Helvetica"/>
          <w:color w:val="282828"/>
          <w:sz w:val="21"/>
          <w:szCs w:val="21"/>
          <w:lang w:eastAsia="es-ES"/>
        </w:rPr>
        <w:t>Summary</w:t>
      </w:r>
      <w:proofErr w:type="spellEnd"/>
      <w:r w:rsidRPr="00EF5617">
        <w:rPr>
          <w:rFonts w:ascii="Helvetica" w:eastAsia="Times New Roman" w:hAnsi="Helvetica" w:cs="Helvetica"/>
          <w:color w:val="282828"/>
          <w:sz w:val="21"/>
          <w:szCs w:val="21"/>
          <w:lang w:eastAsia="es-ES"/>
        </w:rPr>
        <w:t>.   </w:t>
      </w:r>
    </w:p>
    <w:p w:rsidR="00EF5617" w:rsidRPr="00EF5617" w:rsidRDefault="00EF5617" w:rsidP="00EF5617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Amidst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economic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and global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uncertainty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that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surrounds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us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handling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tough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questions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an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ongoing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part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of a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leader’s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job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. In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this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piece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author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outlines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strategies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to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answer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difficult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questions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so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that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can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maintain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the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trust of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clients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and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colleagues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keep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your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relationships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intact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, and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weather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any</w:t>
      </w:r>
      <w:proofErr w:type="spellEnd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 xml:space="preserve"> </w:t>
      </w:r>
      <w:proofErr w:type="spellStart"/>
      <w:proofErr w:type="gramStart"/>
      <w:r w:rsidRPr="00EF5617">
        <w:rPr>
          <w:rFonts w:ascii="Helvetica" w:eastAsia="Times New Roman" w:hAnsi="Helvetica" w:cs="Helvetica"/>
          <w:color w:val="505050"/>
          <w:sz w:val="21"/>
          <w:szCs w:val="21"/>
          <w:lang w:eastAsia="es-ES"/>
        </w:rPr>
        <w:t>storm.close</w:t>
      </w:r>
      <w:proofErr w:type="spellEnd"/>
      <w:proofErr w:type="gramEnd"/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We’ve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experienced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moment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we’re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caught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unprepared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Maybe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direct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report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raises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challenging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layoffs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during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town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hall meeting,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calls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unexpectedly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wants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happen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markets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maintain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relationships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 and </w:t>
      </w:r>
      <w:hyperlink r:id="rId7" w:history="1">
        <w:r w:rsidRPr="00EF5617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trust</w:t>
        </w:r>
      </w:hyperlink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—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seeking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? 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introduced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topic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unforgiving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Early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career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served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director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public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diplomacy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Consulate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General of Israel to New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England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American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citizen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responsible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explaining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policy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foreign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government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during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time of extreme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violence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Middle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East.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hardest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job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fielding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angry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both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sides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conflict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as: </w:t>
      </w:r>
      <w:proofErr w:type="spellStart"/>
      <w:proofErr w:type="gram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government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harsh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government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harsher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?</w:t>
      </w:r>
      <w:proofErr w:type="gram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learned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job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became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basis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methodology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handling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difficult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use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strategies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whether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investment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banker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addressing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CEO of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billion-dollar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company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airport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gate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agent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reassuring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anxious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passengers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small-business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owner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fielding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 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</w:pP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How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 xml:space="preserve"> to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Handle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Tough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Questions</w:t>
      </w:r>
      <w:proofErr w:type="spellEnd"/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</w:pPr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 xml:space="preserve">1. Prepare in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advance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usually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anticipate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many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difficult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Before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all-hands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meeting, look at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agenda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identify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might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come up. Invite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peers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role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play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challenging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comfortable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authentic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yourself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audience’s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yourself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response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 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do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same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preparing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organization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truly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pulse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toughest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simulate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conversation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effective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activity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anyone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team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who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fielding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responses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be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memorized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should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recall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result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practice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</w:pPr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 xml:space="preserve">2. Pause and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breathe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. 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Whenever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field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jump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right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away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However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without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complete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information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often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throw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"https://hbr.org/2018/08/how-to-stop-saying-um-ah-and-you-know" </w:instrText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filler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words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(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"https://hbr.org/2019/08/why-filler-words-like-um-and-ah-are-actually-useful" </w:instrText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they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actually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 xml:space="preserve"> be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helpful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 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certain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),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ramble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double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-back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said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begin"/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instrText xml:space="preserve"> HYPERLINK "https://hbr.org/2022/03/to-win-over-an-audience-focus-on-building-trust" </w:instrText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separate"/>
      </w:r>
      <w:r w:rsidRPr="00EF5617">
        <w:rPr>
          <w:rFonts w:ascii="Georgia" w:eastAsia="Times New Roman" w:hAnsi="Georgia" w:cs="Helvetica"/>
          <w:color w:val="282828"/>
          <w:sz w:val="24"/>
          <w:szCs w:val="24"/>
          <w:u w:val="single"/>
          <w:lang w:eastAsia="es-ES"/>
        </w:rPr>
        <w:t>clarity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fldChar w:fldCharType="end"/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ways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build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trust,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fumbling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jeopardize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credibility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 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Before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minute to pause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gather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thoughts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recommend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closing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mouth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breathing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through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forces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stop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talking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calmly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sip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water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brought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just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purpose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acceptable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break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gives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much-needed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seconds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think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ensure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emotions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control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</w:pPr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 xml:space="preserve">3. Express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empathy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 xml:space="preserve"> and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honesty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. 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Words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matter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especially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difficult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Start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acknowledging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through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transition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phrase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“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critical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thank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,”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empathetic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language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“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If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shoes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exact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same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.”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discourage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from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great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”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common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peeve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usually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means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make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up.”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While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those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media training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learned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pivot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bridge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order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avoid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certain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exercise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caution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technique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—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audience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you’re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more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erode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trust. </w:t>
      </w:r>
      <w:proofErr w:type="gram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So,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instead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?</w:t>
      </w:r>
      <w:proofErr w:type="gramEnd"/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</w:pPr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lastRenderedPageBreak/>
        <w:t xml:space="preserve">4.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Acknowledge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the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uncertainty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incomplete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information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acknowledge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uncertainty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use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phrases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“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Here’s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,”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in more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sensitive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 use “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” to share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information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confidently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express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uncertainty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afraid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,”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“No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has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here’s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we’re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doing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address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.”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also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confidently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objectively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describe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situation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Provide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unbiased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overview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saying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: “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I’d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like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step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back and look at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conversation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having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exactly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process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through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order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understand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all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perspectives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arrive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at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best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course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.”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use, “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else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mind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?”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decisively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move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onto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next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</w:pP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When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You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 xml:space="preserve">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Need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 xml:space="preserve"> to </w:t>
      </w:r>
      <w:proofErr w:type="spellStart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>Take</w:t>
      </w:r>
      <w:proofErr w:type="spellEnd"/>
      <w:r w:rsidRPr="00EF5617">
        <w:rPr>
          <w:rFonts w:ascii="Helvetica" w:eastAsia="Times New Roman" w:hAnsi="Helvetica" w:cs="Helvetica"/>
          <w:b/>
          <w:bCs/>
          <w:color w:val="282828"/>
          <w:sz w:val="36"/>
          <w:szCs w:val="36"/>
          <w:lang w:eastAsia="es-ES"/>
        </w:rPr>
        <w:t xml:space="preserve"> a Stand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Sometimes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acknowledging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uncertainty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stand.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do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100%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certain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work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because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certain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waiting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longer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reply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would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cause irreparable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damage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When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need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stand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spot, try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hyperlink r:id="rId8" w:history="1">
        <w:r w:rsidRPr="00EF5617">
          <w:rPr>
            <w:rFonts w:ascii="Georgia" w:eastAsia="Times New Roman" w:hAnsi="Georgia" w:cs="Helvetica"/>
            <w:color w:val="282828"/>
            <w:sz w:val="24"/>
            <w:szCs w:val="24"/>
            <w:u w:val="single"/>
            <w:lang w:eastAsia="es-ES"/>
          </w:rPr>
          <w:t>PREP</w:t>
        </w:r>
      </w:hyperlink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framework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stands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:</w:t>
      </w:r>
    </w:p>
    <w:p w:rsidR="00EF5617" w:rsidRPr="00EF5617" w:rsidRDefault="00EF5617" w:rsidP="00EF56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Point:</w:t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Reason</w:t>
      </w:r>
      <w:proofErr w:type="spellEnd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: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Provide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reason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behind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Example</w:t>
      </w:r>
      <w:proofErr w:type="spellEnd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: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Give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example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supports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Point: 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Before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start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rambling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, re-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state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point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Here’s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example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PREP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action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</w:t>
      </w:r>
      <w:proofErr w:type="spellStart"/>
      <w:proofErr w:type="gram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aren’t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getting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extra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-of-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bonuses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?</w:t>
      </w:r>
      <w:proofErr w:type="gramEnd"/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Acknowledge</w:t>
      </w:r>
      <w:proofErr w:type="spellEnd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with</w:t>
      </w:r>
      <w:proofErr w:type="spellEnd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empathy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know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everyone’s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minds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I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appreciate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asking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Point</w:t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believe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bonuses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must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tied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company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performance.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Reason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important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everyone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feels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sense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-in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without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pressure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affecting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their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annual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salary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Example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During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pandemic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revenue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dropped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precipitously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kept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people’s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salaries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but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not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bonus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was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challenging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other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reasons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[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insert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reason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].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Point</w:t>
      </w: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: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why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are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unable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extra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end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-of-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year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bonuses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imagine,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incredible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amount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nuance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goes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into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crafting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these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answers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In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fact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preparing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for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before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speech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can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take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lastRenderedPageBreak/>
        <w:t>just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much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time 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crafting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speech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itself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However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critical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use of time.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r w:rsidRPr="00EF5617">
        <w:rPr>
          <w:rFonts w:ascii="Georgia" w:eastAsia="Times New Roman" w:hAnsi="Georgia" w:cs="Helvetica"/>
          <w:b/>
          <w:bCs/>
          <w:color w:val="282828"/>
          <w:sz w:val="24"/>
          <w:szCs w:val="24"/>
          <w:lang w:eastAsia="es-ES"/>
        </w:rPr>
        <w:t>. . .</w:t>
      </w:r>
    </w:p>
    <w:p w:rsidR="00EF5617" w:rsidRPr="00EF5617" w:rsidRDefault="00EF5617" w:rsidP="00EF561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</w:pP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Amidst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economic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global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uncertainty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that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surrounds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us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handling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tough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questions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will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be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ongoing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part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roles as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leaders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. Use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strategies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discussed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above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to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maintain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the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trust of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clients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colleagues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keep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your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relationships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intact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, and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weather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any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 xml:space="preserve"> </w:t>
      </w:r>
      <w:proofErr w:type="spellStart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storm</w:t>
      </w:r>
      <w:proofErr w:type="spellEnd"/>
      <w:r w:rsidRPr="00EF5617">
        <w:rPr>
          <w:rFonts w:ascii="Georgia" w:eastAsia="Times New Roman" w:hAnsi="Georgia" w:cs="Helvetica"/>
          <w:color w:val="282828"/>
          <w:sz w:val="24"/>
          <w:szCs w:val="24"/>
          <w:lang w:eastAsia="es-ES"/>
        </w:rPr>
        <w:t>.</w:t>
      </w:r>
    </w:p>
    <w:p w:rsidR="00444C57" w:rsidRDefault="00444C57"/>
    <w:sectPr w:rsidR="00444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F615B"/>
    <w:multiLevelType w:val="multilevel"/>
    <w:tmpl w:val="5E9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0178"/>
    <w:multiLevelType w:val="multilevel"/>
    <w:tmpl w:val="F2DE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77454"/>
    <w:multiLevelType w:val="multilevel"/>
    <w:tmpl w:val="FE3E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17"/>
    <w:rsid w:val="00444C57"/>
    <w:rsid w:val="00E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9BDD6-E546-4722-A20A-BA7C940A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F56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F5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F5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6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F56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561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by-prefix">
    <w:name w:val="by-prefix"/>
    <w:basedOn w:val="Fuentedeprrafopredeter"/>
    <w:rsid w:val="00EF5617"/>
  </w:style>
  <w:style w:type="character" w:styleId="Hipervnculo">
    <w:name w:val="Hyperlink"/>
    <w:basedOn w:val="Fuentedeprrafopredeter"/>
    <w:uiPriority w:val="99"/>
    <w:semiHidden/>
    <w:unhideWhenUsed/>
    <w:rsid w:val="00EF5617"/>
    <w:rPr>
      <w:color w:val="0000FF"/>
      <w:u w:val="single"/>
    </w:rPr>
  </w:style>
  <w:style w:type="character" w:customStyle="1" w:styleId="credits--hero-image">
    <w:name w:val="credits--hero-image"/>
    <w:basedOn w:val="Fuentedeprrafopredeter"/>
    <w:rsid w:val="00EF5617"/>
  </w:style>
  <w:style w:type="character" w:customStyle="1" w:styleId="summary-header">
    <w:name w:val="summary-header"/>
    <w:basedOn w:val="Fuentedeprrafopredeter"/>
    <w:rsid w:val="00EF5617"/>
  </w:style>
  <w:style w:type="character" w:customStyle="1" w:styleId="summary-text">
    <w:name w:val="summary-text"/>
    <w:basedOn w:val="Fuentedeprrafopredeter"/>
    <w:rsid w:val="00EF5617"/>
  </w:style>
  <w:style w:type="paragraph" w:styleId="NormalWeb">
    <w:name w:val="Normal (Web)"/>
    <w:basedOn w:val="Normal"/>
    <w:uiPriority w:val="99"/>
    <w:semiHidden/>
    <w:unhideWhenUsed/>
    <w:rsid w:val="00EF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F5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40103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23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81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5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034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32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publicspeaking.com/how-to-speak-off-the-cuff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r.org/2022/03/to-win-over-an-audience-focus-on-building-tr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hbr.org/search?term=allison%20shapi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2022-12-20T09:28:00Z</dcterms:created>
  <dcterms:modified xsi:type="dcterms:W3CDTF">2022-12-20T09:29:00Z</dcterms:modified>
</cp:coreProperties>
</file>