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6"/>
          <w:szCs w:val="26"/>
        </w:rPr>
        <w:t xml:space="preserve">Accuracy and Completeness of Appeal Letters Generated by Free Consumer AI Chatbots Versus a Policy-Grounded Tool for Denied Orthopedic Surgery</w:t>
      </w:r>
    </w:p>
    <w:p>
      <w:pPr>
        <w:spacing w:after="120" w:before="300"/>
      </w:pPr>
      <w:r>
        <w:rPr>
          <w:rFonts w:ascii="Times New Roman" w:cs="Times New Roman" w:eastAsia="Times New Roman" w:hAnsi="Times New Roman"/>
          <w:b/>
          <w:bCs/>
          <w:sz w:val="24"/>
          <w:szCs w:val="24"/>
        </w:rPr>
        <w:t xml:space="preserve">Abstract</w:t>
      </w:r>
    </w:p>
    <w:p>
      <w:pPr>
        <w:spacing w:after="120" w:line="276"/>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Patients whose orthopedic surgery is denied increasingly use free AI chatbots to draft appeals. An effective appeal depends on the insurer's own coverage policy: the correct document, the specific criterion on which the denial was based, quoted accurately, together with the filing deadline and submission route.</w:t>
      </w:r>
    </w:p>
    <w:p>
      <w:pPr>
        <w:spacing w:after="120" w:line="276"/>
      </w:pP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We constructed 60 synthetic adverse benefit determinations spanning 13 orthopedic procedures, 37 insurers and 36 states, each paired with a chart summary. Cases were stratified by what the insurer publishes: coverage policy with medical criteria (n=30), policy published but criteria held by a third-party review organization (n=15), or no published policy (n=15). Four systems answered each case once and then drafted the appeal: ChatGPT, Claude and Gemini at their free consumer tiers, each with web search and page retrieval, and OrthoAppeals, which answers from a curated policy library. The primary outcome was correct policy identification. The secondary outcome, assessed in the 30 cases with published criteria, was a criterion-grounded appeal, defined as a letter quoting a requirement from the governing policy that addresses the stated reason for denial. Letters were graded blinded; quotations were verified against the policy document by exact text match. Paired comparisons used McNemar exact tests.</w:t>
      </w:r>
    </w:p>
    <w:p>
      <w:pPr>
        <w:spacing w:after="120" w:line="276"/>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OrthoAppeals identified the governing policy in 60 of 60 cases (100%), ChatGPT in 39 of 60 (65.0%), Gemini in 39 of 60 (65.0%) and Claude in 37 of 60 (61.7%); all differences versus OrthoAppeals were significant (P&lt;.001), and the three chatbots did not differ from one another (P&gt;.77 for all pairwise comparisons). Where the insurer publishes no policy, Gemini named a nonexistent document in 11 of 15 cases, compared with 3 of 15 for Claude and 1 of 15 for ChatGPT. A criterion-grounded appeal was produced by OrthoAppeals in 26 of 30 cases (86.7%), Gemini in 22 (73.3%; P=.22), Claude in 16 (53.3%; P=.006) and ChatGPT in 2 (6.7%; difference 80.0 percentage points, 95% CI 60.0 to 93.3; P&lt;.001). The filing deadline, printed verbatim on every notice, was stated in 11 of 60 Gemini letters (18.3%) and 27 of 60 ChatGPT letters (45.0%). Quotations attributed to the policy but absent from it appeared in 26 of 60 Claude letters (43.3%) and 24 of 60 Gemini letters (40.0%), versus 2 of 60 for ChatGPT (3.3%) and none for OrthoAppeals.</w:t>
      </w:r>
    </w:p>
    <w:p>
      <w:pPr>
        <w:spacing w:after="120" w:line="276"/>
      </w:pPr>
      <w:r>
        <w:rPr>
          <w:rFonts w:ascii="Times New Roman" w:cs="Times New Roman" w:eastAsia="Times New Roman" w:hAnsi="Times New Roman"/>
          <w:b/>
          <w:bCs/>
          <w:sz w:val="22"/>
          <w:szCs w:val="22"/>
        </w:rPr>
        <w:t xml:space="preserve">Conclusion. </w:t>
      </w:r>
      <w:r>
        <w:rPr>
          <w:rFonts w:ascii="Times New Roman" w:cs="Times New Roman" w:eastAsia="Times New Roman" w:hAnsi="Times New Roman"/>
          <w:sz w:val="22"/>
          <w:szCs w:val="22"/>
        </w:rPr>
        <w:t xml:space="preserve">Free consumer chatbots produced fluent appeal letters that were largely ungrounded in the insurer's coverage policy, frequently omitted the filing deadline, and attributed requirements to the plan that the plan does not state. A system answering from a verified policy library quoted the governing criterion in 86.7% of eligible cases without unverifiable attribution. These failure modes are of the type likely to result in denial on appeal rather than the type a lay reader would detect.</w:t>
      </w:r>
    </w:p>
    <w:p>
      <w:pPr>
        <w:spacing w:after="120" w:before="300"/>
      </w:pPr>
      <w:r>
        <w:rPr>
          <w:rFonts w:ascii="Times New Roman" w:cs="Times New Roman" w:eastAsia="Times New Roman" w:hAnsi="Times New Roman"/>
          <w:b/>
          <w:bCs/>
          <w:sz w:val="24"/>
          <w:szCs w:val="24"/>
        </w:rPr>
        <w:t xml:space="preserve">Methods</w:t>
      </w:r>
    </w:p>
    <w:p>
      <w:pPr>
        <w:spacing w:after="100" w:before="200"/>
      </w:pPr>
      <w:r>
        <w:rPr>
          <w:rFonts w:ascii="Times New Roman" w:cs="Times New Roman" w:eastAsia="Times New Roman" w:hAnsi="Times New Roman"/>
          <w:b/>
          <w:bCs/>
          <w:i/>
          <w:iCs/>
          <w:sz w:val="22"/>
          <w:szCs w:val="22"/>
        </w:rPr>
        <w:t xml:space="preserve">Case construction</w:t>
      </w:r>
    </w:p>
    <w:p>
      <w:pPr>
        <w:spacing w:after="120" w:line="276"/>
      </w:pPr>
      <w:r>
        <w:rPr>
          <w:rFonts w:ascii="Times New Roman" w:cs="Times New Roman" w:eastAsia="Times New Roman" w:hAnsi="Times New Roman"/>
          <w:sz w:val="22"/>
          <w:szCs w:val="22"/>
        </w:rPr>
        <w:t xml:space="preserve">Sixty synthetic adverse benefit determinations were constructed to reproduce the structure of commercial denial notices. Each specifies a member name, member identification number, reference number, date of notice, denied procedure with CPT code, and one of four stated denial reasons: inadequate trial of conservative treatment, imaging findings not supporting necessity, failure to meet medical necessity criteria, or incomplete documentation. Each notice states the appeal filing deadline as an explicit calendar date. Each case is paired with a chart summary reproducing the content of a prior authorization packet, including symptom duration, conservative measures attempted, physical examination findings and imaging results. Cases span 13 orthopedic procedures, 37 insurers and 36 states. No patient data were used.</w:t>
      </w:r>
    </w:p>
    <w:p>
      <w:pPr>
        <w:spacing w:after="120" w:line="276"/>
      </w:pPr>
      <w:r>
        <w:rPr>
          <w:rFonts w:ascii="Times New Roman" w:cs="Times New Roman" w:eastAsia="Times New Roman" w:hAnsi="Times New Roman"/>
          <w:sz w:val="22"/>
          <w:szCs w:val="22"/>
        </w:rPr>
        <w:t xml:space="preserve">Cases were stratified by what the insurer publishes for the denied procedure. In stratum A (n=30) the insurer publishes a coverage policy containing the medical criteria, and the correct response is to cite that document. In stratum B (n=15) the insurer publishes a policy but the operative criteria are held by a third-party review organization such as InterQual or MCG, and the correct response is to cite the document and provide the route by which the criteria may be obtained. In stratum C (n=15) the insurer publishes no applicable policy, and the correct response is to state this and provide a route to request the criteria rather than to name a document.</w:t>
      </w:r>
    </w:p>
    <w:p>
      <w:pPr>
        <w:spacing w:after="100" w:before="200"/>
      </w:pPr>
      <w:r>
        <w:rPr>
          <w:rFonts w:ascii="Times New Roman" w:cs="Times New Roman" w:eastAsia="Times New Roman" w:hAnsi="Times New Roman"/>
          <w:b/>
          <w:bCs/>
          <w:i/>
          <w:iCs/>
          <w:sz w:val="22"/>
          <w:szCs w:val="22"/>
        </w:rPr>
        <w:t xml:space="preserve">Systems and procedure</w:t>
      </w:r>
    </w:p>
    <w:p>
      <w:pPr>
        <w:spacing w:after="120" w:line="276"/>
      </w:pPr>
      <w:r>
        <w:rPr>
          <w:rFonts w:ascii="Times New Roman" w:cs="Times New Roman" w:eastAsia="Times New Roman" w:hAnsi="Times New Roman"/>
          <w:sz w:val="22"/>
          <w:szCs w:val="22"/>
        </w:rPr>
        <w:t xml:space="preserve">Four systems were evaluated. ChatGPT, Claude and Gemini were accessed at the model tier each vendor serves to non-paying users, and each was provided the same two capabilities available to a person using a browser: web search and retrieval of a named web page. OrthoAppeals answers from a curated library of payer coverage policies rather than by search. Each system received an identical denial notice, chart summary and instruction, was asked first to identify the governing policy, and was then asked, continuing the same session, to draft the appeal letter a patient would submit.</w:t>
      </w:r>
    </w:p>
    <w:p>
      <w:pPr>
        <w:spacing w:after="100" w:before="200"/>
      </w:pPr>
      <w:r>
        <w:rPr>
          <w:rFonts w:ascii="Times New Roman" w:cs="Times New Roman" w:eastAsia="Times New Roman" w:hAnsi="Times New Roman"/>
          <w:b/>
          <w:bCs/>
          <w:i/>
          <w:iCs/>
          <w:sz w:val="22"/>
          <w:szCs w:val="22"/>
        </w:rPr>
        <w:t xml:space="preserve">Outcomes</w:t>
      </w:r>
    </w:p>
    <w:p>
      <w:pPr>
        <w:spacing w:after="120" w:line="276"/>
      </w:pPr>
      <w:r>
        <w:rPr>
          <w:rFonts w:ascii="Times New Roman" w:cs="Times New Roman" w:eastAsia="Times New Roman" w:hAnsi="Times New Roman"/>
          <w:sz w:val="22"/>
          <w:szCs w:val="22"/>
        </w:rPr>
        <w:t xml:space="preserve">The primary outcome was correct policy identification. An answer was scored correct when it named the governing document by address or title, named a document bearing the same guideline identifier from the same publisher, or named a document that states criteria for the denied code; in stratum C, an explicit statement that no applicable policy is published was required. The correct answer for each case was drawn from a curated policy library and verified against the live document; 29 of the 30 stratum A documents were confirmed to resolve, to name the procedure and to state criteria for it.</w:t>
      </w:r>
    </w:p>
    <w:p>
      <w:pPr>
        <w:spacing w:after="120" w:line="276"/>
      </w:pPr>
      <w:r>
        <w:rPr>
          <w:rFonts w:ascii="Times New Roman" w:cs="Times New Roman" w:eastAsia="Times New Roman" w:hAnsi="Times New Roman"/>
          <w:sz w:val="22"/>
          <w:szCs w:val="22"/>
        </w:rPr>
        <w:t xml:space="preserve">The secondary outcome, assessed in stratum A, was a criterion-grounded appeal: a letter quoting a requirement from the governing policy that addresses the stated reason for denial and relates that requirement to the patient's record. A letter containing no policy quotation, a letter quoting a requirement unrelated to the stated denial reason, and a letter quoting the denial notice rather than the policy were each scored as not grounded.</w:t>
      </w:r>
    </w:p>
    <w:p>
      <w:pPr>
        <w:spacing w:after="120" w:line="276"/>
      </w:pPr>
      <w:r>
        <w:rPr>
          <w:rFonts w:ascii="Times New Roman" w:cs="Times New Roman" w:eastAsia="Times New Roman" w:hAnsi="Times New Roman"/>
          <w:sz w:val="22"/>
          <w:szCs w:val="22"/>
        </w:rPr>
        <w:t xml:space="preserve">Four further letter characteristics were recorded. Administrative completeness was defined as reproduction of the member identification number, reference number, member name and date of denial from the notice. The filing deadline and submission route were each scored as stated or absent. An unverifiable quotation was defined as text presented as the policy's language that does not appear in the policy document. An unsourced policy identifier was defined as a policy number or effective date appearing in no source available to the system.</w:t>
      </w:r>
    </w:p>
    <w:p>
      <w:pPr>
        <w:spacing w:after="100" w:before="200"/>
      </w:pPr>
      <w:r>
        <w:rPr>
          <w:rFonts w:ascii="Times New Roman" w:cs="Times New Roman" w:eastAsia="Times New Roman" w:hAnsi="Times New Roman"/>
          <w:b/>
          <w:bCs/>
          <w:i/>
          <w:iCs/>
          <w:sz w:val="22"/>
          <w:szCs w:val="22"/>
        </w:rPr>
        <w:t xml:space="preserve">Grading and statistical analysis</w:t>
      </w:r>
    </w:p>
    <w:p>
      <w:pPr>
        <w:spacing w:after="120" w:line="276"/>
      </w:pPr>
      <w:r>
        <w:rPr>
          <w:rFonts w:ascii="Times New Roman" w:cs="Times New Roman" w:eastAsia="Times New Roman" w:hAnsi="Times New Roman"/>
          <w:sz w:val="22"/>
          <w:szCs w:val="22"/>
        </w:rPr>
        <w:t xml:space="preserve">Letters were graded without knowledge of the generating system. Factual characteristics were determined by exact text comparison rather than by rater judgment: a quotation either appears in the policy document or does not, and a date either matches the notice or does not. Text appearing in the denial notice or chart summary was excluded from consideration as a policy quotation.</w:t>
      </w:r>
    </w:p>
    <w:p>
      <w:pPr>
        <w:spacing w:after="120" w:line="276"/>
      </w:pPr>
      <w:r>
        <w:rPr>
          <w:rFonts w:ascii="Times New Roman" w:cs="Times New Roman" w:eastAsia="Times New Roman" w:hAnsi="Times New Roman"/>
          <w:sz w:val="22"/>
          <w:szCs w:val="22"/>
        </w:rPr>
        <w:t xml:space="preserve">Proportions are reported with 95% Wilson score confidence intervals. Because every system answered every case, comparisons are paired and were tested with McNemar exact tests, reported with discordant pair counts. Confidence intervals for paired differences were obtained by bootstrap resampling of cases (10,000 replicates, percentile method). Tests were two-sided with alpha of .05. Three prespecified comparisons were made against OrthoAppeals for each outcome; a Bonferroni-corrected threshold of .017 is noted where relevant.</w:t>
      </w:r>
    </w:p>
    <w:p>
      <w:pPr>
        <w:spacing w:after="100" w:before="200"/>
      </w:pPr>
      <w:r>
        <w:rPr>
          <w:rFonts w:ascii="Times New Roman" w:cs="Times New Roman" w:eastAsia="Times New Roman" w:hAnsi="Times New Roman"/>
          <w:b/>
          <w:bCs/>
          <w:i/>
          <w:iCs/>
          <w:sz w:val="22"/>
          <w:szCs w:val="22"/>
        </w:rPr>
        <w:t xml:space="preserve">Limitations</w:t>
      </w:r>
    </w:p>
    <w:p>
      <w:pPr>
        <w:spacing w:after="120" w:line="276"/>
      </w:pPr>
      <w:r>
        <w:rPr>
          <w:rFonts w:ascii="Times New Roman" w:cs="Times New Roman" w:eastAsia="Times New Roman" w:hAnsi="Times New Roman"/>
          <w:sz w:val="22"/>
          <w:szCs w:val="22"/>
        </w:rPr>
        <w:t xml:space="preserve">Cases were sampled from the policy library from which the reference answers were drawn, so every case is one the library covers. This design cannot measure performance when a patient's insurer is absent from the library, which is a distinct failure mode.</w:t>
      </w:r>
    </w:p>
    <w:p>
      <w:pPr>
        <w:spacing w:after="120" w:line="276"/>
      </w:pPr>
      <w:r>
        <w:rPr>
          <w:rFonts w:ascii="Times New Roman" w:cs="Times New Roman" w:eastAsia="Times New Roman" w:hAnsi="Times New Roman"/>
          <w:sz w:val="22"/>
          <w:szCs w:val="22"/>
        </w:rPr>
        <w:t xml:space="preserve">In stratum C the reference answer cannot be confirmed by document retrieval, as the assertion is that no applicable document exists; these answers rest on manual review of the insurer's published materials.</w:t>
      </w:r>
    </w:p>
    <w:p>
      <w:pPr>
        <w:spacing w:after="120" w:line="276"/>
      </w:pPr>
      <w:r>
        <w:rPr>
          <w:rFonts w:ascii="Times New Roman" w:cs="Times New Roman" w:eastAsia="Times New Roman" w:hAnsi="Times New Roman"/>
          <w:sz w:val="22"/>
          <w:szCs w:val="22"/>
        </w:rPr>
        <w:t xml:space="preserve">All denial notices are synthetic. Whether the differences observed alter the proportion of appeals that succeed was not addressed by this design and requires prospective evaluation.</w:t>
      </w:r>
    </w:p>
    <w:p>
      <w:pPr>
        <w:spacing w:after="120" w:before="300"/>
      </w:pPr>
      <w:r>
        <w:rPr>
          <w:rFonts w:ascii="Times New Roman" w:cs="Times New Roman" w:eastAsia="Times New Roman" w:hAnsi="Times New Roman"/>
          <w:b/>
          <w:bCs/>
          <w:sz w:val="24"/>
          <w:szCs w:val="24"/>
        </w:rPr>
        <w:t xml:space="preserve">Results</w:t>
      </w:r>
    </w:p>
    <w:p>
      <w:pPr>
        <w:spacing w:after="120" w:line="276"/>
      </w:pPr>
      <w:r>
        <w:rPr>
          <w:rFonts w:ascii="Times New Roman" w:cs="Times New Roman" w:eastAsia="Times New Roman" w:hAnsi="Times New Roman"/>
          <w:sz w:val="22"/>
          <w:szCs w:val="22"/>
        </w:rPr>
        <w:t xml:space="preserve">Two hundred and forty retrievals and 240 appeal letters were produced and graded, comprising 60 cases for each of four systems.</w:t>
      </w:r>
    </w:p>
    <w:p>
      <w:pPr>
        <w:spacing w:after="100" w:before="200"/>
      </w:pPr>
      <w:r>
        <w:rPr>
          <w:rFonts w:ascii="Times New Roman" w:cs="Times New Roman" w:eastAsia="Times New Roman" w:hAnsi="Times New Roman"/>
          <w:b/>
          <w:bCs/>
          <w:i/>
          <w:iCs/>
          <w:sz w:val="22"/>
          <w:szCs w:val="22"/>
        </w:rPr>
        <w:t xml:space="preserve">Correct policy identification</w:t>
      </w:r>
    </w:p>
    <w:p>
      <w:pPr>
        <w:spacing w:after="120" w:line="276"/>
      </w:pPr>
      <w:r>
        <w:rPr>
          <w:rFonts w:ascii="Times New Roman" w:cs="Times New Roman" w:eastAsia="Times New Roman" w:hAnsi="Times New Roman"/>
          <w:sz w:val="22"/>
          <w:szCs w:val="22"/>
        </w:rPr>
        <w:t xml:space="preserve">OrthoAppeals identified the governing policy in 60 of 60 cases (100%, 95% CI 94.0–100.0). Among the consumer chatbots, ChatGPT was correct in 39 of 60 (65.0%, 95% CI 52.4–75.8), Gemini in 39 of 60 (65.0%, 95% CI 52.4–75.8) and Claude in 37 of 60 (61.7%, 95% CI 49.0–72.9). Each difference versus OrthoAppeals was significant: ChatGPT, 35.0 percentage points (95% CI 23.3–46.7), 21 discordant pairs all favoring OrthoAppeals, P&lt;.001; Gemini, 35.0 percentage points (95% CI 23.3–46.7), 21 discordant pairs, P&lt;.001; Claude, 38.3 percentage points (95% CI 26.7–50.0), 23 discordant pairs, P&lt;.001. All remained significant at the Bonferroni-corrected threshold.</w:t>
      </w:r>
    </w:p>
    <w:p>
      <w:pPr>
        <w:spacing w:after="120" w:line="276"/>
      </w:pPr>
      <w:r>
        <w:rPr>
          <w:rFonts w:ascii="Times New Roman" w:cs="Times New Roman" w:eastAsia="Times New Roman" w:hAnsi="Times New Roman"/>
          <w:sz w:val="22"/>
          <w:szCs w:val="22"/>
        </w:rPr>
        <w:t xml:space="preserve">The three chatbots did not differ from one another: ChatGPT versus Claude, 7 versus 5 discordant pairs, P=.77; ChatGPT versus Gemini, 12 versus 12, P=1.00; Claude versus Gemini, 11 versus 9, P=.82.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1900"/>
      </w:tblGrid>
      <w:tr>
        <w:tc>
          <w:tcPr>
            <w:tcW w:type="dxa" w:w="27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
            </w:r>
          </w:p>
        </w:tc>
        <w:tc>
          <w:tcPr>
            <w:tcW w:type="dxa" w:w="19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Stratum A: criteria published (n=30)</w:t>
            </w:r>
          </w:p>
        </w:tc>
        <w:tc>
          <w:tcPr>
            <w:tcW w:type="dxa" w:w="19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Stratum B: criteria held by review organization (n=15)</w:t>
            </w:r>
          </w:p>
        </w:tc>
        <w:tc>
          <w:tcPr>
            <w:tcW w:type="dxa" w:w="19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Stratum C: no published policy (n=15)</w:t>
            </w:r>
          </w:p>
        </w:tc>
      </w:tr>
      <w:t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OrthoAppeals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30/30 (100%)</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15/15 (100%)</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15/15 (100%)</w:t>
            </w:r>
          </w:p>
        </w:tc>
      </w:tr>
      <w:t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ChatGPT</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16/30 (53.3%)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9/15 (60.0%)</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14/15 (93.3%)</w:t>
            </w:r>
          </w:p>
        </w:tc>
      </w:tr>
      <w:t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Claude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18/30 (60.0%)</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8/15 (53.3%)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11/15 (73.3%)</w:t>
            </w:r>
          </w:p>
        </w:tc>
      </w:tr>
      <w:t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Gemini</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24/30 (80.0%)</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11/15 (73.3%)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4/15 (26.7%)</w:t>
            </w:r>
          </w:p>
        </w:tc>
      </w:tr>
    </w:tbl>
    <w:p>
      <w:pPr>
        <w:spacing w:after="220" w:before="80"/>
      </w:pPr>
      <w:r>
        <w:rPr>
          <w:rFonts w:ascii="Times New Roman" w:cs="Times New Roman" w:eastAsia="Times New Roman" w:hAnsi="Times New Roman"/>
          <w:sz w:val="19"/>
          <w:szCs w:val="19"/>
        </w:rPr>
        <w:t xml:space="preserve">Table 1. Correct policy identification by stratum.</w:t>
      </w:r>
    </w:p>
    <w:p>
      <w:pPr>
        <w:spacing w:after="120" w:line="276"/>
      </w:pPr>
      <w:r>
        <w:rPr>
          <w:rFonts w:ascii="Times New Roman" w:cs="Times New Roman" w:eastAsia="Times New Roman" w:hAnsi="Times New Roman"/>
          <w:sz w:val="22"/>
          <w:szCs w:val="22"/>
        </w:rPr>
        <w:t xml:space="preserve">Performance in stratum C diverged most sharply. Gemini named a document that does not apply to the case in 11 of 15 cases (73.3%), against 3 of 15 for Claude (20.0%) and 1 of 15 for ChatGPT (6.7%). Claude produced no answer in 1 of 15 (6.7%). Gemini's advantage in stratum A (24/30, 80.0%) was therefore offset by its performance where abstention was required.</w:t>
      </w:r>
    </w:p>
    <w:p>
      <w:pPr>
        <w:spacing w:after="100" w:before="200"/>
      </w:pPr>
      <w:r>
        <w:rPr>
          <w:rFonts w:ascii="Times New Roman" w:cs="Times New Roman" w:eastAsia="Times New Roman" w:hAnsi="Times New Roman"/>
          <w:b/>
          <w:bCs/>
          <w:i/>
          <w:iCs/>
          <w:sz w:val="22"/>
          <w:szCs w:val="22"/>
        </w:rPr>
        <w:t xml:space="preserve">Criterion-grounded appeal</w:t>
      </w:r>
    </w:p>
    <w:p>
      <w:pPr>
        <w:spacing w:after="120" w:line="276"/>
      </w:pPr>
      <w:r>
        <w:rPr>
          <w:rFonts w:ascii="Times New Roman" w:cs="Times New Roman" w:eastAsia="Times New Roman" w:hAnsi="Times New Roman"/>
          <w:sz w:val="22"/>
          <w:szCs w:val="22"/>
        </w:rPr>
        <w:t xml:space="preserve">Among the 30 stratum A cases, OrthoAppeals produced a criterion-grounded appeal in 26 of 30 letters (86.7%, 95% CI 70.3–94.7). Gemini did so in 22 of 30 (73.3%, 95% CI 55.6–85.8; difference 13.3 percentage points, 95% CI 0.0–30.0; 5 versus 1 discordant pairs; P=.22). Claude did so in 16 of 30 (53.3%, 95% CI 36.1–69.8; difference 33.3 percentage points, 95% CI 13.3–53.3; 11 versus 1 discordant pairs; P=.006). ChatGPT did so in 2 of 30 (6.7%, 95% CI 1.8–21.3; difference 80.0 percentage points, 95% CI 60.0–93.3; 25 versus 1 discordant pairs; P&lt;.001).</w:t>
      </w:r>
    </w:p>
    <w:p>
      <w:pPr>
        <w:spacing w:after="120" w:line="276"/>
      </w:pPr>
      <w:r>
        <w:rPr>
          <w:rFonts w:ascii="Times New Roman" w:cs="Times New Roman" w:eastAsia="Times New Roman" w:hAnsi="Times New Roman"/>
          <w:sz w:val="22"/>
          <w:szCs w:val="22"/>
        </w:rPr>
        <w:t xml:space="preserve">ChatGPT identified the governing policy in 16 of 30 stratum A cases yet quoted a qualifying requirement in 2. Its letters instead enumerated the patient's clinical history and asserted that these findings established medical necessity, without reference to the criteria the plan applies. ChatGPT letters were also shorter than those of the other systems (median 4,042 characters versus 6,780 for OrthoAppeals).</w:t>
      </w:r>
    </w:p>
    <w:p>
      <w:pPr>
        <w:spacing w:after="100" w:before="200"/>
      </w:pPr>
      <w:r>
        <w:rPr>
          <w:rFonts w:ascii="Times New Roman" w:cs="Times New Roman" w:eastAsia="Times New Roman" w:hAnsi="Times New Roman"/>
          <w:b/>
          <w:bCs/>
          <w:i/>
          <w:iCs/>
          <w:sz w:val="22"/>
          <w:szCs w:val="22"/>
        </w:rPr>
        <w:t xml:space="preserve">Letter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c>
          <w:tcPr>
            <w:tcW w:type="dxa" w:w="24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left"/>
            </w:pPr>
            <w:r>
              <w:rPr>
                <w:rFonts w:ascii="Times New Roman" w:cs="Times New Roman" w:eastAsia="Times New Roman" w:hAnsi="Times New Roman"/>
                <w:b/>
                <w:bCs/>
                <w:sz w:val="19"/>
                <w:szCs w:val="19"/>
              </w:rPr>
              <w:t xml:space="preserve"/>
            </w:r>
          </w:p>
        </w:tc>
        <w:tc>
          <w:tcPr>
            <w:tcW w:type="dxa" w:w="17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Administratively complete</w:t>
            </w:r>
          </w:p>
        </w:tc>
        <w:tc>
          <w:tcPr>
            <w:tcW w:type="dxa" w:w="17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Filing deadline stated</w:t>
            </w:r>
          </w:p>
        </w:tc>
        <w:tc>
          <w:tcPr>
            <w:tcW w:type="dxa" w:w="17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Submission route stated</w:t>
            </w:r>
          </w:p>
        </w:tc>
        <w:tc>
          <w:tcPr>
            <w:tcW w:type="dxa" w:w="1700"/>
            <w:tcBorders>
              <w:top w:val="single" w:color="000000" w:sz="4"/>
              <w:left w:val="single" w:color="000000" w:sz="4"/>
              <w:bottom w:val="single" w:color="000000" w:sz="4"/>
              <w:right w:val="single" w:color="000000" w:sz="4"/>
            </w:tcBorders>
            <w:shd w:fill="EDEDED"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Unverifiable quotation present</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OrthoAppeals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60/60 (100%)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60/60 (100%)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60/60 (100%)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0/60 (0%)</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ChatGPT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53/60 (88.3%)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27/60 (45.0%)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40/60 (66.7%)</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2/60 (3.3%)</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Claude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60/60 (100%)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56/60 (93.3%)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60/60 (100%)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26/60 (43.3%)</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Gemini</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60/60 (100%)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11/60 (18.3%)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58/60 (96.7%)</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24/60 (40.0%)</w:t>
            </w:r>
          </w:p>
        </w:tc>
      </w:tr>
    </w:tbl>
    <w:p>
      <w:pPr>
        <w:spacing w:after="220" w:before="80"/>
      </w:pPr>
      <w:r>
        <w:rPr>
          <w:rFonts w:ascii="Times New Roman" w:cs="Times New Roman" w:eastAsia="Times New Roman" w:hAnsi="Times New Roman"/>
          <w:sz w:val="19"/>
          <w:szCs w:val="19"/>
        </w:rPr>
        <w:t xml:space="preserve">Table 2. Characteristics of the appeal letters, all 60 cases per system.</w:t>
      </w:r>
    </w:p>
    <w:p>
      <w:pPr>
        <w:spacing w:after="120" w:line="276"/>
      </w:pPr>
      <w:r>
        <w:rPr>
          <w:rFonts w:ascii="Times New Roman" w:cs="Times New Roman" w:eastAsia="Times New Roman" w:hAnsi="Times New Roman"/>
          <w:sz w:val="22"/>
          <w:szCs w:val="22"/>
        </w:rPr>
        <w:t xml:space="preserve">The filing deadline is printed as an explicit calendar date on every notice, so reproducing it requires transcription rather than calculation. Gemini stated it in 11 of 60 letters (18.3%, 95% CI 10.6–29.9) and ChatGPT in 27 of 60 (45.0%, 95% CI 33.1–57.5). Gemini letters contained numerous other dates from the chart summary, including imaging and injection dates, while omitting the deadline.</w:t>
      </w:r>
    </w:p>
    <w:p>
      <w:pPr>
        <w:spacing w:after="120" w:line="276"/>
      </w:pPr>
      <w:r>
        <w:rPr>
          <w:rFonts w:ascii="Times New Roman" w:cs="Times New Roman" w:eastAsia="Times New Roman" w:hAnsi="Times New Roman"/>
          <w:sz w:val="22"/>
          <w:szCs w:val="22"/>
        </w:rPr>
        <w:t xml:space="preserve">Unverifiable quotations were present in 26 of 60 Claude letters (43.3%, 95% CI 31.6–55.9) and 24 of 60 Gemini letters (40.0%, 95% CI 28.6–52.6), compared with 2 of 60 ChatGPT letters (3.3%, 95% CI 0.9–11.4) and none of 60 OrthoAppeals letters (0%, 95% CI 0.0–6.0). Unsourced policy identifiers appeared in 15 of 60 Gemini letters (25.0%), 11 of 60 Claude letters (18.3%), 5 of 60 ChatGPT letters (8.3%) and 1 of 60 OrthoAppeals letters (1.7%).</w:t>
      </w:r>
    </w:p>
    <w:p>
      <w:pPr>
        <w:spacing w:after="120" w:line="276"/>
      </w:pPr>
      <w:r>
        <w:rPr>
          <w:rFonts w:ascii="Times New Roman" w:cs="Times New Roman" w:eastAsia="Times New Roman" w:hAnsi="Times New Roman"/>
          <w:sz w:val="22"/>
          <w:szCs w:val="22"/>
        </w:rPr>
        <w:t xml:space="preserve">ChatGPT omitted at least one required identifier in 7 of 60 letters (11.7%), most commonly the date of denial.</w:t>
      </w:r>
    </w:p>
    <w:p>
      <w:pPr>
        <w:spacing w:after="100" w:before="200"/>
      </w:pPr>
      <w:r>
        <w:rPr>
          <w:rFonts w:ascii="Times New Roman" w:cs="Times New Roman" w:eastAsia="Times New Roman" w:hAnsi="Times New Roman"/>
          <w:b/>
          <w:bCs/>
          <w:i/>
          <w:iCs/>
          <w:sz w:val="22"/>
          <w:szCs w:val="22"/>
        </w:rPr>
        <w:t xml:space="preserve">Retrieval effort</w:t>
      </w:r>
    </w:p>
    <w:p>
      <w:pPr>
        <w:spacing w:after="120" w:line="276"/>
      </w:pPr>
      <w:r>
        <w:rPr>
          <w:rFonts w:ascii="Times New Roman" w:cs="Times New Roman" w:eastAsia="Times New Roman" w:hAnsi="Times New Roman"/>
          <w:sz w:val="22"/>
          <w:szCs w:val="22"/>
        </w:rPr>
        <w:t xml:space="preserve">Median searches and elapsed time per case differed substantially among the chatbots. ChatGPT used 14 searches over 43 seconds, Claude 14 searches over 105 seconds, and Gemini 33 searches over 122 seconds. OrthoAppeals performed no searches, answering from its library. Gemini therefore expended approximately 2.4 times ChatGPT's search volume and 2.8 times its elapsed time while identifying the governing policy in the same proportion of cases.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2026-09-20T21:28:10.496Z</dcterms:created>
  <dcterms:modified xsi:type="dcterms:W3CDTF">2026-09-20T21:28:10.496Z</dcterms:modified>
</cp:coreProperties>
</file>

<file path=docProps/custom.xml><?xml version="1.0" encoding="utf-8"?>
<Properties xmlns="http://schemas.openxmlformats.org/officeDocument/2006/custom-properties" xmlns:vt="http://schemas.openxmlformats.org/officeDocument/2006/docPropsVTypes"/>
</file>