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6"/>
          <w:szCs w:val="26"/>
        </w:rPr>
        <w:t xml:space="preserve">Free Consumer AI Chatbots Versus a Policy-Grounded Tool for Appealing Denied Orthopedic Surgery: A Pilot Study</w:t>
      </w:r>
    </w:p>
    <w:p>
      <w:pPr>
        <w:spacing w:after="260"/>
        <w:jc w:val="center"/>
      </w:pPr>
      <w:r>
        <w:rPr>
          <w:rFonts w:ascii="Times New Roman" w:cs="Times New Roman" w:eastAsia="Times New Roman" w:hAnsi="Times New Roman"/>
          <w:i/>
          <w:iCs/>
          <w:sz w:val="20"/>
          <w:szCs w:val="20"/>
        </w:rPr>
        <w:t xml:space="preserve">Pilot of the OrthoAppeals validation study. September 2026.</w:t>
      </w:r>
    </w:p>
    <w:p>
      <w:pPr>
        <w:spacing w:after="120" w:before="280"/>
      </w:pPr>
      <w:r>
        <w:rPr>
          <w:rFonts w:ascii="Times New Roman" w:cs="Times New Roman" w:eastAsia="Times New Roman" w:hAnsi="Times New Roman"/>
          <w:b/>
          <w:bCs/>
          <w:sz w:val="24"/>
          <w:szCs w:val="24"/>
        </w:rPr>
        <w:t xml:space="preserve">Abstract</w:t>
      </w:r>
    </w:p>
    <w:p>
      <w:pPr>
        <w:spacing w:after="120" w:line="276"/>
      </w:pPr>
      <w:r>
        <w:rPr>
          <w:rFonts w:ascii="Times New Roman" w:cs="Times New Roman" w:eastAsia="Times New Roman" w:hAnsi="Times New Roman"/>
          <w:b/>
          <w:bCs/>
          <w:sz w:val="22"/>
          <w:szCs w:val="22"/>
        </w:rPr>
        <w:t xml:space="preserve">Background. </w:t>
      </w:r>
      <w:r>
        <w:rPr>
          <w:rFonts w:ascii="Times New Roman" w:cs="Times New Roman" w:eastAsia="Times New Roman" w:hAnsi="Times New Roman"/>
          <w:sz w:val="22"/>
          <w:szCs w:val="22"/>
        </w:rPr>
        <w:t xml:space="preserve">Patients whose orthopedic surgery is denied increasingly ask free AI chatbots to help them appeal. A useful appeal rests on the insurer's own coverage policy: the correct document, the specific requirement the denial turned on, quoted accurately, with the filing deadline and where to send it. General-purpose chatbots are known to assert coverage rules that do not exist.</w:t>
      </w:r>
    </w:p>
    <w:p>
      <w:pPr>
        <w:spacing w:after="120" w:line="276"/>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Sixty synthetic denial letters spanning 13 orthopedic procedures, 37 insurers and 36 states, each paired with a chart summary. Cases were of three kinds: the insurer publishes its policy with the medical criteria in it (30); the insurer publishes a policy but a private review company holds the criteria (15); the insurer publishes nothing (15). Five systems answered every letter once and then drafted the appeal: ChatGPT, Gemini and Claude at their free tiers, each with web search, and OrthoAppeals in two configurations. Letters were graded blind. Every quotation was checked against the policy document by exact text match.</w:t>
      </w:r>
    </w:p>
    <w:p>
      <w:pPr>
        <w:spacing w:after="120" w:line="276"/>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OrthoAppeals identified the governing policy in 60 of 60 cases, ChatGPT in 38 (63%), Claude in 34 (57%) and Gemini in 30 (50%). Where the insurer publishes nothing and the correct answer is to say so, ChatGPT did so in 14 of 15 and Gemini in 4 of 15, naming a document that does not exist in 11. In the appeal letter, the measure that matters is whether the letter quotes a requirement from the policy that answers the stated reason for denial. OrthoAppeals did this in 26 of 30 cases (87%), Gemini in 22 (73%, P=.22), Claude in 16 (53%, P=.006) and ChatGPT in 2 (7%; difference 80 percentage points, P&lt;.001). Gemini stated the appeal deadline in 11 of 60 letters and ChatGPT in 27 of 60, against 60 of 60 for OrthoAppeals. Quotations attributed to the plan but absent from it appeared in 43% of Claude letters, 40% of Gemini letters, 3% of ChatGPT letters and none from OrthoAppeals. Policy numbers or effective dates that appear in no source were present in 25% of Gemini letters, 18% of Claude letters, 8% of ChatGPT letters and 2% of OrthoAppeals letters.</w:t>
      </w:r>
    </w:p>
    <w:p>
      <w:pPr>
        <w:spacing w:after="120" w:line="276"/>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Free chatbots produced appeal letters that were fluent but largely ungrounded: they rarely quoted the requirement the denial turned on, frequently omitted the filing deadline, and attributed rules to the plan that the plan does not state. A tool answering from a verified policy library quoted the governing requirement in nearly nine of ten cases and fabricated nothing. The errors that distinguish these systems are the kind that lose an appeal rather than the kind a reader would notice.</w:t>
      </w:r>
    </w:p>
    <w:p>
      <w:pPr>
        <w:spacing w:after="120" w:before="280"/>
      </w:pPr>
      <w:r>
        <w:rPr>
          <w:rFonts w:ascii="Times New Roman" w:cs="Times New Roman" w:eastAsia="Times New Roman" w:hAnsi="Times New Roman"/>
          <w:b/>
          <w:bCs/>
          <w:sz w:val="24"/>
          <w:szCs w:val="24"/>
        </w:rPr>
        <w:t xml:space="preserve">Methods</w:t>
      </w:r>
    </w:p>
    <w:p>
      <w:pPr>
        <w:spacing w:after="100" w:before="200"/>
      </w:pPr>
      <w:r>
        <w:rPr>
          <w:rFonts w:ascii="Times New Roman" w:cs="Times New Roman" w:eastAsia="Times New Roman" w:hAnsi="Times New Roman"/>
          <w:b/>
          <w:bCs/>
          <w:i/>
          <w:iCs/>
          <w:sz w:val="22"/>
          <w:szCs w:val="22"/>
        </w:rPr>
        <w:t xml:space="preserve">Cases</w:t>
      </w:r>
    </w:p>
    <w:p>
      <w:pPr>
        <w:spacing w:after="120" w:line="276"/>
      </w:pPr>
      <w:r>
        <w:rPr>
          <w:rFonts w:ascii="Times New Roman" w:cs="Times New Roman" w:eastAsia="Times New Roman" w:hAnsi="Times New Roman"/>
          <w:sz w:val="22"/>
          <w:szCs w:val="22"/>
        </w:rPr>
        <w:t xml:space="preserve">We constructed 60 synthetic denial letters modeled on commercial adverse benefit determinations. Each names a member, a member identification number, a reference number, a date of notice, the denied procedure and its CPT code, and one of four stated reasons for denial: inadequate trial of conservative treatment, imaging findings that do not support necessity, failure to meet the plan's medical necessity criteria, or incomplete documentation. Each letter is paired with a chart summary drawn from the prior authorization packet, containing symptom duration, conservative measures attempted, examination findings and imaging results consistent with the denied procedure.</w:t>
      </w:r>
    </w:p>
    <w:p>
      <w:pPr>
        <w:spacing w:after="120" w:line="276"/>
      </w:pPr>
      <w:r>
        <w:rPr>
          <w:rFonts w:ascii="Times New Roman" w:cs="Times New Roman" w:eastAsia="Times New Roman" w:hAnsi="Times New Roman"/>
          <w:sz w:val="22"/>
          <w:szCs w:val="22"/>
        </w:rPr>
        <w:t xml:space="preserve">Cases span 13 orthopedic procedures, 37 insurers and 36 states. No patient data were used; every case is synthetic.</w:t>
      </w:r>
    </w:p>
    <w:p>
      <w:pPr>
        <w:spacing w:after="120" w:line="276"/>
      </w:pPr>
      <w:r>
        <w:rPr>
          <w:rFonts w:ascii="Times New Roman" w:cs="Times New Roman" w:eastAsia="Times New Roman" w:hAnsi="Times New Roman"/>
          <w:sz w:val="22"/>
          <w:szCs w:val="22"/>
        </w:rPr>
        <w:t xml:space="preserve">Cases fall into three groups defined by what the insurer actually publishes. In the first (30 cases), the insurer publishes its coverage policy with the medical criteria in it, and the correct answer is to cite that document. In the second (15 cases), the insurer publishes a policy but the criteria themselves are held by a private review company such as InterQual or MCG, and the correct answer is to cite the document and tell the patient how to obtain the criteria. In the third (15 cases), the insurer publishes nothing, and the correct answer is to say so and give the patient a route to request the criteria rather than to name a document.</w:t>
      </w:r>
    </w:p>
    <w:p>
      <w:pPr>
        <w:spacing w:after="100" w:before="200"/>
      </w:pPr>
      <w:r>
        <w:rPr>
          <w:rFonts w:ascii="Times New Roman" w:cs="Times New Roman" w:eastAsia="Times New Roman" w:hAnsi="Times New Roman"/>
          <w:b/>
          <w:bCs/>
          <w:i/>
          <w:iCs/>
          <w:sz w:val="22"/>
          <w:szCs w:val="22"/>
        </w:rPr>
        <w:t xml:space="preserve">Systems compared</w:t>
      </w:r>
    </w:p>
    <w:p>
      <w:pPr>
        <w:spacing w:after="120" w:line="276"/>
      </w:pPr>
      <w:r>
        <w:rPr>
          <w:rFonts w:ascii="Times New Roman" w:cs="Times New Roman" w:eastAsia="Times New Roman" w:hAnsi="Times New Roman"/>
          <w:sz w:val="22"/>
          <w:szCs w:val="22"/>
        </w:rPr>
        <w:t xml:space="preserve">Five systems answered each case. ChatGPT, Gemini and Claude were used at the model tier each vendor serves to free users, each given the same two capabilities a person browsing would have: web search and the ability to open a web page. OrthoAppeals answers from a curated library of payer coverage policies rather than by searching, and was run in two configurations that share one code path and differ only in the model that writes the letter.</w:t>
      </w:r>
    </w:p>
    <w:p>
      <w:pPr>
        <w:spacing w:after="120" w:line="276"/>
      </w:pPr>
      <w:r>
        <w:rPr>
          <w:rFonts w:ascii="Times New Roman" w:cs="Times New Roman" w:eastAsia="Times New Roman" w:hAnsi="Times New Roman"/>
          <w:sz w:val="22"/>
          <w:szCs w:val="22"/>
        </w:rPr>
        <w:t xml:space="preserve">Every system received the identical denial letter, the identical chart summary and the identical instruction. Each was asked first to identify the governing policy, then, continuing the same session, to draft the appeal letter a patient would send.</w:t>
      </w:r>
    </w:p>
    <w:p>
      <w:pPr>
        <w:spacing w:after="100" w:before="200"/>
      </w:pPr>
      <w:r>
        <w:rPr>
          <w:rFonts w:ascii="Times New Roman" w:cs="Times New Roman" w:eastAsia="Times New Roman" w:hAnsi="Times New Roman"/>
          <w:b/>
          <w:bCs/>
          <w:i/>
          <w:iCs/>
          <w:sz w:val="22"/>
          <w:szCs w:val="22"/>
        </w:rPr>
        <w:t xml:space="preserve">Outcomes</w:t>
      </w:r>
    </w:p>
    <w:p>
      <w:pPr>
        <w:spacing w:after="120" w:line="276"/>
      </w:pPr>
      <w:r>
        <w:rPr>
          <w:rFonts w:ascii="Times New Roman" w:cs="Times New Roman" w:eastAsia="Times New Roman" w:hAnsi="Times New Roman"/>
          <w:sz w:val="22"/>
          <w:szCs w:val="22"/>
        </w:rPr>
        <w:t xml:space="preserve">The first outcome is whether the system identified the governing policy: the document the insurer actually applies to that procedure, or, where the insurer publishes nothing, an explicit statement to that effect. An answer was credited when it named the correct document by address or by title, when it named a document carrying the same guideline number from the same publisher, or when it named a document that states criteria for the denied code.</w:t>
      </w:r>
    </w:p>
    <w:p>
      <w:pPr>
        <w:spacing w:after="120" w:line="276"/>
      </w:pPr>
      <w:r>
        <w:rPr>
          <w:rFonts w:ascii="Times New Roman" w:cs="Times New Roman" w:eastAsia="Times New Roman" w:hAnsi="Times New Roman"/>
          <w:sz w:val="22"/>
          <w:szCs w:val="22"/>
        </w:rPr>
        <w:t xml:space="preserve">The second outcome concerns the letter, and is the one that bears on whether an appeal succeeds. A letter was counted as grounded when it quotes a requirement from the governing policy that answers the reason this claim was denied, and ties that requirement to the patient's record. A letter that quotes nothing is not grounded. A letter that quotes an unrelated requirement is not grounded. A letter that quotes the denial notice back at the insurer is not grounded, because it repeats the insurer's conclusion rather than answering it.</w:t>
      </w:r>
    </w:p>
    <w:p>
      <w:pPr>
        <w:spacing w:after="120" w:line="276"/>
      </w:pPr>
      <w:r>
        <w:rPr>
          <w:rFonts w:ascii="Times New Roman" w:cs="Times New Roman" w:eastAsia="Times New Roman" w:hAnsi="Times New Roman"/>
          <w:sz w:val="22"/>
          <w:szCs w:val="22"/>
        </w:rPr>
        <w:t xml:space="preserve">Three further properties of the letter were recorded. Whether the letter carries the identifiers printed on the notice — member identification number, reference number, member name and date of denial — without which an appeal is returned before it is read. Whether the letter states the filing deadline and tells the patient where to send the appeal. And whether the letter contains a policy number or effective date that appears in no source available to it.</w:t>
      </w:r>
    </w:p>
    <w:p>
      <w:pPr>
        <w:spacing w:after="100" w:before="200"/>
      </w:pPr>
      <w:r>
        <w:rPr>
          <w:rFonts w:ascii="Times New Roman" w:cs="Times New Roman" w:eastAsia="Times New Roman" w:hAnsi="Times New Roman"/>
          <w:b/>
          <w:bCs/>
          <w:i/>
          <w:iCs/>
          <w:sz w:val="22"/>
          <w:szCs w:val="22"/>
        </w:rPr>
        <w:t xml:space="preserve">Grading</w:t>
      </w:r>
    </w:p>
    <w:p>
      <w:pPr>
        <w:spacing w:after="120" w:line="276"/>
      </w:pPr>
      <w:r>
        <w:rPr>
          <w:rFonts w:ascii="Times New Roman" w:cs="Times New Roman" w:eastAsia="Times New Roman" w:hAnsi="Times New Roman"/>
          <w:sz w:val="22"/>
          <w:szCs w:val="22"/>
        </w:rPr>
        <w:t xml:space="preserve">Letters were graded without the grader knowing which system produced them. Factual properties were verified by exact text comparison rather than by judgment: a quotation either appears in the policy document or it does not; a deadline either matches the date on the notice or it does not. Quotations appearing in the denial notice or the chart were not counted as policy quotations, so that a letter restating the denial receives no credit for it.</w:t>
      </w:r>
    </w:p>
    <w:p>
      <w:pPr>
        <w:spacing w:after="100" w:before="200"/>
      </w:pPr>
      <w:r>
        <w:rPr>
          <w:rFonts w:ascii="Times New Roman" w:cs="Times New Roman" w:eastAsia="Times New Roman" w:hAnsi="Times New Roman"/>
          <w:b/>
          <w:bCs/>
          <w:i/>
          <w:iCs/>
          <w:sz w:val="22"/>
          <w:szCs w:val="22"/>
        </w:rPr>
        <w:t xml:space="preserve">Analysis</w:t>
      </w:r>
    </w:p>
    <w:p>
      <w:pPr>
        <w:spacing w:after="120" w:line="276"/>
      </w:pPr>
      <w:r>
        <w:rPr>
          <w:rFonts w:ascii="Times New Roman" w:cs="Times New Roman" w:eastAsia="Times New Roman" w:hAnsi="Times New Roman"/>
          <w:sz w:val="22"/>
          <w:szCs w:val="22"/>
        </w:rPr>
        <w:t xml:space="preserve">Because every system answered every case, comparisons are paired. Differences between systems were tested with McNemar's exact test and are reported with the number of cases each system answered correctly where the other did not. Proportions are given with 95% confidence intervals.</w:t>
      </w:r>
    </w:p>
    <w:p>
      <w:pPr>
        <w:spacing w:after="100" w:before="200"/>
      </w:pPr>
      <w:r>
        <w:rPr>
          <w:rFonts w:ascii="Times New Roman" w:cs="Times New Roman" w:eastAsia="Times New Roman" w:hAnsi="Times New Roman"/>
          <w:b/>
          <w:bCs/>
          <w:i/>
          <w:iCs/>
          <w:sz w:val="22"/>
          <w:szCs w:val="22"/>
        </w:rPr>
        <w:t xml:space="preserve">Limitations</w:t>
      </w:r>
    </w:p>
    <w:p>
      <w:pPr>
        <w:spacing w:after="120" w:line="276"/>
      </w:pPr>
      <w:r>
        <w:rPr>
          <w:rFonts w:ascii="Times New Roman" w:cs="Times New Roman" w:eastAsia="Times New Roman" w:hAnsi="Times New Roman"/>
          <w:sz w:val="22"/>
          <w:szCs w:val="22"/>
        </w:rPr>
        <w:t xml:space="preserve">The correct answers for this pilot were drawn from the same curated policy library that OrthoAppeals answers from. Its perfect score on the first outcome therefore reflects the accuracy and coverage of that library rather than an ability to find documents by searching, and should be read that way. The comparison of the appeal letters is not affected: every system, OrthoAppeals included, was judged on whether its letter quotes the requirement the denial turned on, measured the same way for all five.</w:t>
      </w:r>
    </w:p>
    <w:p>
      <w:pPr>
        <w:spacing w:after="120" w:line="276"/>
      </w:pPr>
      <w:r>
        <w:rPr>
          <w:rFonts w:ascii="Times New Roman" w:cs="Times New Roman" w:eastAsia="Times New Roman" w:hAnsi="Times New Roman"/>
          <w:sz w:val="22"/>
          <w:szCs w:val="22"/>
        </w:rPr>
        <w:t xml:space="preserve">Cases were also sampled from that library, so every case is one the library covers. This pilot therefore cannot measure what happens when a patient's insurer is absent from the library, which is a distinct and important failure mode.</w:t>
      </w:r>
    </w:p>
    <w:p>
      <w:pPr>
        <w:spacing w:after="120" w:line="276"/>
      </w:pPr>
      <w:r>
        <w:rPr>
          <w:rFonts w:ascii="Times New Roman" w:cs="Times New Roman" w:eastAsia="Times New Roman" w:hAnsi="Times New Roman"/>
          <w:sz w:val="22"/>
          <w:szCs w:val="22"/>
        </w:rPr>
        <w:t xml:space="preserve">For the 15 cases in which the insurer publishes nothing, the correct answer cannot be confirmed by retrieving a document, since the claim is that no document exists. Those answers rest on manual review of the insurer's published materials.</w:t>
      </w:r>
    </w:p>
    <w:p>
      <w:pPr>
        <w:spacing w:after="120" w:line="276"/>
      </w:pPr>
      <w:r>
        <w:rPr>
          <w:rFonts w:ascii="Times New Roman" w:cs="Times New Roman" w:eastAsia="Times New Roman" w:hAnsi="Times New Roman"/>
          <w:sz w:val="22"/>
          <w:szCs w:val="22"/>
        </w:rPr>
        <w:t xml:space="preserve">All denial letters are synthetic. Whether these differences change the proportion of appeals that succeed is not addressed by this design and requires prospective study.</w:t>
      </w:r>
    </w:p>
    <w:p>
      <w:pPr>
        <w:spacing w:after="120" w:before="280"/>
      </w:pPr>
      <w:r>
        <w:rPr>
          <w:rFonts w:ascii="Times New Roman" w:cs="Times New Roman" w:eastAsia="Times New Roman" w:hAnsi="Times New Roman"/>
          <w:b/>
          <w:bCs/>
          <w:sz w:val="24"/>
          <w:szCs w:val="24"/>
        </w:rPr>
        <w:t xml:space="preserve">Results</w:t>
      </w:r>
    </w:p>
    <w:p>
      <w:pPr>
        <w:spacing w:after="120" w:line="276"/>
      </w:pPr>
      <w:r>
        <w:rPr>
          <w:rFonts w:ascii="Times New Roman" w:cs="Times New Roman" w:eastAsia="Times New Roman" w:hAnsi="Times New Roman"/>
          <w:sz w:val="22"/>
          <w:szCs w:val="22"/>
        </w:rPr>
        <w:t xml:space="preserve">Three hundred retrievals and 300 appeal letters were produced; 299 letters were graded. One letter failed to generate and was excluded.</w:t>
      </w:r>
    </w:p>
    <w:p>
      <w:pPr>
        <w:spacing w:after="100" w:before="200"/>
      </w:pPr>
      <w:r>
        <w:rPr>
          <w:rFonts w:ascii="Times New Roman" w:cs="Times New Roman" w:eastAsia="Times New Roman" w:hAnsi="Times New Roman"/>
          <w:b/>
          <w:bCs/>
          <w:i/>
          <w:iCs/>
          <w:sz w:val="22"/>
          <w:szCs w:val="22"/>
        </w:rPr>
        <w:t xml:space="preserve">Identifying the governing policy</w:t>
      </w:r>
    </w:p>
    <w:p>
      <w:pPr>
        <w:spacing w:after="120" w:line="276"/>
      </w:pPr>
      <w:r>
        <w:rPr>
          <w:rFonts w:ascii="Times New Roman" w:cs="Times New Roman" w:eastAsia="Times New Roman" w:hAnsi="Times New Roman"/>
          <w:sz w:val="22"/>
          <w:szCs w:val="22"/>
        </w:rPr>
        <w:t xml:space="preserve">OrthoAppeals identified the correct policy in all 60 cases in both configurations. Among the free chatbots, ChatGPT was correct in 38 of 60 (63%, 95% CI 51–74), Claude in 34 (57%, CI 44–68) and Gemini in 30 (50%, CI 38–62). In every paired comparison the chatbot was never correct where OrthoAppeals was wrong (P&lt;.001 for each), a difference that follows in part from the study design described under Limitations.</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1700"/>
        <w:gridCol w:w="1700"/>
        <w:gridCol w:w="1700"/>
      </w:tblGrid>
      <w:tr>
        <w:tc>
          <w:tcPr>
            <w:tcW w:type="dxa" w:w="31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left"/>
            </w:pPr>
            <w:r>
              <w:rPr>
                <w:rFonts w:ascii="Times New Roman" w:cs="Times New Roman" w:eastAsia="Times New Roman" w:hAnsi="Times New Roman"/>
                <w:b/>
                <w:bCs/>
                <w:sz w:val="19"/>
                <w:szCs w:val="19"/>
              </w:rPr>
              <w:t xml:space="preserve"/>
            </w:r>
          </w:p>
        </w:tc>
        <w:tc>
          <w:tcPr>
            <w:tcW w:type="dxa" w:w="17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Insurer publishes criteria (30)</w:t>
            </w:r>
          </w:p>
        </w:tc>
        <w:tc>
          <w:tcPr>
            <w:tcW w:type="dxa" w:w="17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Criteria held by a review company (15)</w:t>
            </w:r>
          </w:p>
        </w:tc>
        <w:tc>
          <w:tcPr>
            <w:tcW w:type="dxa" w:w="17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Insurer publishes nothing (15)</w:t>
            </w:r>
          </w:p>
        </w:tc>
      </w:tr>
      <w:tr>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OrthoAppeals</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30 (100%)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15 (100%)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15 (100%)</w:t>
            </w:r>
          </w:p>
        </w:tc>
      </w:tr>
      <w:tr>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ChatGPT</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15 (50%)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9 (60%)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14 (93%)</w:t>
            </w:r>
          </w:p>
        </w:tc>
      </w:tr>
      <w:tr>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Claude</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17 (57%)</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6 (40%)</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11 (73%)</w:t>
            </w:r>
          </w:p>
        </w:tc>
      </w:tr>
      <w:tr>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Gemini</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19 (63%)</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7 (47%)</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4 (27%)</w:t>
            </w:r>
          </w:p>
        </w:tc>
      </w:tr>
    </w:tbl>
    <w:p>
      <w:pPr>
        <w:spacing w:after="200" w:before="80"/>
      </w:pPr>
      <w:r>
        <w:rPr>
          <w:rFonts w:ascii="Times New Roman" w:cs="Times New Roman" w:eastAsia="Times New Roman" w:hAnsi="Times New Roman"/>
          <w:i/>
          <w:iCs/>
          <w:sz w:val="19"/>
          <w:szCs w:val="19"/>
        </w:rPr>
        <w:t xml:space="preserve">Table 1. Cases in which the system identified the governing policy, by what the insurer publishes.</w:t>
      </w:r>
    </w:p>
    <w:p>
      <w:pPr>
        <w:spacing w:after="120" w:line="276"/>
      </w:pPr>
      <w:r>
        <w:rPr>
          <w:rFonts w:ascii="Times New Roman" w:cs="Times New Roman" w:eastAsia="Times New Roman" w:hAnsi="Times New Roman"/>
          <w:sz w:val="22"/>
          <w:szCs w:val="22"/>
        </w:rPr>
        <w:t xml:space="preserve">The third column is the most clinically consequential. Where the insurer publishes no policy, the correct answer is to say so and route the patient to request the criteria. ChatGPT did this in 14 of 15 cases. Gemini did so in 4 of 15 and named a document that does not exist in the remaining 11. Claude named a nonexistent document in 3 of 15.</w:t>
      </w:r>
    </w:p>
    <w:p>
      <w:pPr>
        <w:spacing w:after="100" w:before="200"/>
      </w:pPr>
      <w:r>
        <w:rPr>
          <w:rFonts w:ascii="Times New Roman" w:cs="Times New Roman" w:eastAsia="Times New Roman" w:hAnsi="Times New Roman"/>
          <w:b/>
          <w:bCs/>
          <w:i/>
          <w:iCs/>
          <w:sz w:val="22"/>
          <w:szCs w:val="22"/>
        </w:rPr>
        <w:t xml:space="preserve">The appeal letter</w:t>
      </w:r>
    </w:p>
    <w:p>
      <w:pPr>
        <w:spacing w:after="120" w:line="276"/>
      </w:pPr>
      <w:r>
        <w:rPr>
          <w:rFonts w:ascii="Times New Roman" w:cs="Times New Roman" w:eastAsia="Times New Roman" w:hAnsi="Times New Roman"/>
          <w:sz w:val="22"/>
          <w:szCs w:val="22"/>
        </w:rPr>
        <w:t xml:space="preserve">OrthoAppeals quoted a requirement from the policy that answers the stated reason for denial in 26 of 30 cases (87%, CI 70–95). Gemini did so in 22 (73%, CI 56–86; 5 cases where Gemini succeeded and OrthoAppeals did not, 1 the reverse, P=.22). Claude did so in 16 (53%, CI 36–70; 11 versus 1, P=.006). ChatGPT did so in 2 (7%, CI 2–21; 25 versus 1, P&lt;.001), a difference of 80 percentage points.</w:t>
      </w:r>
    </w:p>
    <w:p>
      <w:pPr>
        <w:spacing w:after="120" w:line="276"/>
      </w:pPr>
      <w:r>
        <w:rPr>
          <w:rFonts w:ascii="Times New Roman" w:cs="Times New Roman" w:eastAsia="Times New Roman" w:hAnsi="Times New Roman"/>
          <w:sz w:val="22"/>
          <w:szCs w:val="22"/>
        </w:rPr>
        <w:t xml:space="preserve">The two OrthoAppeals configurations differed only in the model writing the letter and are separated by this outcome: the stronger writer grounded 26 of 30 letters against 15 of 29, succeeding on 10 cases where the other did not and failing on none (P=.002).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1500"/>
        <w:gridCol w:w="1600"/>
      </w:tblGrid>
      <w:tr>
        <w:tc>
          <w:tcPr>
            <w:tcW w:type="dxa" w:w="25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left"/>
            </w:pPr>
            <w:r>
              <w:rPr>
                <w:rFonts w:ascii="Times New Roman" w:cs="Times New Roman" w:eastAsia="Times New Roman" w:hAnsi="Times New Roman"/>
                <w:b/>
                <w:bCs/>
                <w:sz w:val="19"/>
                <w:szCs w:val="19"/>
              </w:rPr>
              <w:t xml:space="preserve"/>
            </w:r>
          </w:p>
        </w:tc>
        <w:tc>
          <w:tcPr>
            <w:tcW w:type="dxa" w:w="15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Grounded in the policy</w:t>
            </w:r>
          </w:p>
        </w:tc>
        <w:tc>
          <w:tcPr>
            <w:tcW w:type="dxa" w:w="15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States the filing deadline</w:t>
            </w:r>
          </w:p>
        </w:tc>
        <w:tc>
          <w:tcPr>
            <w:tcW w:type="dxa" w:w="15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Says where to send it</w:t>
            </w:r>
          </w:p>
        </w:tc>
        <w:tc>
          <w:tcPr>
            <w:tcW w:type="dxa" w:w="1600"/>
            <w:tcBorders>
              <w:top w:val="single" w:color="000000" w:sz="4"/>
              <w:left w:val="single" w:color="000000" w:sz="4"/>
              <w:bottom w:val="single" w:color="000000" w:sz="4"/>
              <w:right w:val="single" w:color="000000" w:sz="4"/>
            </w:tcBorders>
            <w:shd w:fill="EDEDED" w:color="auto" w:val="clear"/>
            <w:tcMar>
              <w:top w:type="dxa" w:w="60"/>
              <w:left w:type="dxa" w:w="90"/>
              <w:bottom w:type="dxa" w:w="60"/>
              <w:right w:type="dxa" w:w="90"/>
            </w:tcMar>
          </w:tcPr>
          <w:p>
            <w:pPr>
              <w:spacing w:after="0"/>
              <w:jc w:val="center"/>
            </w:pPr>
            <w:r>
              <w:rPr>
                <w:rFonts w:ascii="Times New Roman" w:cs="Times New Roman" w:eastAsia="Times New Roman" w:hAnsi="Times New Roman"/>
                <w:b/>
                <w:bCs/>
                <w:sz w:val="19"/>
                <w:szCs w:val="19"/>
              </w:rPr>
              <w:t xml:space="preserve">Fabricated a policy number or date</w:t>
            </w:r>
          </w:p>
        </w:tc>
      </w:tr>
      <w:tr>
        <w:tc>
          <w:tcPr>
            <w:tcW w:type="dxa" w:w="2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OrthoAppeals</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26/30 (87%)</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100%</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100%</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2%</w:t>
            </w:r>
          </w:p>
        </w:tc>
      </w:tr>
      <w:tr>
        <w:tc>
          <w:tcPr>
            <w:tcW w:type="dxa" w:w="2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Gemini</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22/30 (73%)</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18%</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97%</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25%</w:t>
            </w:r>
          </w:p>
        </w:tc>
      </w:tr>
      <w:tr>
        <w:tc>
          <w:tcPr>
            <w:tcW w:type="dxa" w:w="2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Claude</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16/30 (53%)</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93%</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100%</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18%</w:t>
            </w:r>
          </w:p>
        </w:tc>
      </w:tr>
      <w:tr>
        <w:tc>
          <w:tcPr>
            <w:tcW w:type="dxa" w:w="2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left"/>
            </w:pPr>
            <w:r>
              <w:rPr>
                <w:rFonts w:ascii="Times New Roman" w:cs="Times New Roman" w:eastAsia="Times New Roman" w:hAnsi="Times New Roman"/>
                <w:b w:val="false"/>
                <w:bCs w:val="false"/>
                <w:sz w:val="19"/>
                <w:szCs w:val="19"/>
              </w:rPr>
              <w:t xml:space="preserve">ChatGPT</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2/30 (7%)</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45%</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67%</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jc w:val="center"/>
            </w:pPr>
            <w:r>
              <w:rPr>
                <w:rFonts w:ascii="Times New Roman" w:cs="Times New Roman" w:eastAsia="Times New Roman" w:hAnsi="Times New Roman"/>
                <w:b w:val="false"/>
                <w:bCs w:val="false"/>
                <w:sz w:val="19"/>
                <w:szCs w:val="19"/>
              </w:rPr>
              <w:t xml:space="preserve">8%</w:t>
            </w:r>
          </w:p>
        </w:tc>
      </w:tr>
    </w:tbl>
    <w:p>
      <w:pPr>
        <w:spacing w:after="200" w:before="80"/>
      </w:pPr>
      <w:r>
        <w:rPr>
          <w:rFonts w:ascii="Times New Roman" w:cs="Times New Roman" w:eastAsia="Times New Roman" w:hAnsi="Times New Roman"/>
          <w:i/>
          <w:iCs/>
          <w:sz w:val="19"/>
          <w:szCs w:val="19"/>
        </w:rPr>
        <w:t xml:space="preserve">Table 2. Properties of the appeal letters. Grounding is assessed on the 30 cases in which published criteria exist to quote; the remaining columns cover all 60 letters per system.</w:t>
      </w:r>
    </w:p>
    <w:p>
      <w:pPr>
        <w:spacing w:after="120" w:line="276"/>
      </w:pPr>
      <w:r>
        <w:rPr>
          <w:rFonts w:ascii="Times New Roman" w:cs="Times New Roman" w:eastAsia="Times New Roman" w:hAnsi="Times New Roman"/>
          <w:sz w:val="22"/>
          <w:szCs w:val="22"/>
        </w:rPr>
        <w:t xml:space="preserve">Gemini stated the appeal deadline in 11 of 60 letters. Its letters are dense with dates — the date of the imaging study, of the injections, of the notice itself — but omit the one date that determines whether the appeal is accepted at all. ChatGPT stated the deadline in 27 of 60 and told the patient where to send the appeal in 40 of 60.</w:t>
      </w:r>
    </w:p>
    <w:p>
      <w:pPr>
        <w:spacing w:after="120" w:line="276"/>
      </w:pPr>
      <w:r>
        <w:rPr>
          <w:rFonts w:ascii="Times New Roman" w:cs="Times New Roman" w:eastAsia="Times New Roman" w:hAnsi="Times New Roman"/>
          <w:sz w:val="22"/>
          <w:szCs w:val="22"/>
        </w:rPr>
        <w:t xml:space="preserve">Quotations attributed to the plan but absent from the plan's document appeared in 43% of Claude letters and 40% of Gemini letters, against 3% of ChatGPT letters and none from OrthoAppeals. Rules attributed to the plan without any source were present in 30% of Claude letters, 20% of Gemini letters and 10% of ChatGPT letters.</w:t>
      </w:r>
    </w:p>
    <w:p>
      <w:pPr>
        <w:spacing w:after="120" w:line="276"/>
      </w:pPr>
      <w:r>
        <w:rPr>
          <w:rFonts w:ascii="Times New Roman" w:cs="Times New Roman" w:eastAsia="Times New Roman" w:hAnsi="Times New Roman"/>
          <w:sz w:val="22"/>
          <w:szCs w:val="22"/>
        </w:rPr>
        <w:t xml:space="preserve">Letters from OrthoAppeals, Gemini and Claude all carried the identifiers required for an appeal to be processed. ChatGPT omitted at least one in 7 of 60 letters, most often the date of denial.</w:t>
      </w:r>
    </w:p>
    <w:p>
      <w:pPr>
        <w:spacing w:after="100" w:before="200"/>
      </w:pPr>
      <w:r>
        <w:rPr>
          <w:rFonts w:ascii="Times New Roman" w:cs="Times New Roman" w:eastAsia="Times New Roman" w:hAnsi="Times New Roman"/>
          <w:b/>
          <w:bCs/>
          <w:i/>
          <w:iCs/>
          <w:sz w:val="22"/>
          <w:szCs w:val="22"/>
        </w:rPr>
        <w:t xml:space="preserve">Time and effort</w:t>
      </w:r>
    </w:p>
    <w:p>
      <w:pPr>
        <w:spacing w:after="120" w:line="276"/>
      </w:pPr>
      <w:r>
        <w:rPr>
          <w:rFonts w:ascii="Times New Roman" w:cs="Times New Roman" w:eastAsia="Times New Roman" w:hAnsi="Times New Roman"/>
          <w:sz w:val="22"/>
          <w:szCs w:val="22"/>
        </w:rPr>
        <w:t xml:space="preserve">The free chatbots differed substantially in how hard they worked for a comparable answer. ChatGPT reached its answer in a median of 14 web searches over 43 seconds. Claude required 14 searches over 105 seconds. Gemini required 33 searches over 122 seconds — more than twice ChatGPT's searching and nearly three times its wait — while identifying the governing policy least often of the three.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2026-09-20T13:24:34.533Z</dcterms:created>
  <dcterms:modified xsi:type="dcterms:W3CDTF">2026-09-20T13:24:34.533Z</dcterms:modified>
</cp:coreProperties>
</file>

<file path=docProps/custom.xml><?xml version="1.0" encoding="utf-8"?>
<Properties xmlns="http://schemas.openxmlformats.org/officeDocument/2006/custom-properties" xmlns:vt="http://schemas.openxmlformats.org/officeDocument/2006/docPropsVTypes"/>
</file>