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Times New Roman" w:cs="Times New Roman" w:eastAsia="Times New Roman" w:hAnsi="Times New Roman"/>
          <w:b/>
          <w:bCs/>
          <w:sz w:val="28"/>
          <w:szCs w:val="28"/>
        </w:rPr>
        <w:t xml:space="preserve">CHAPTER THREE</w:t>
      </w:r>
    </w:p>
    <w:p>
      <w:pPr>
        <w:pStyle w:val="Heading1"/>
        <w:spacing w:before="360" w:after="240"/>
        <w:jc w:val="center"/>
      </w:pPr>
      <w:r>
        <w:rPr>
          <w:rFonts w:ascii="Times New Roman" w:cs="Times New Roman" w:eastAsia="Times New Roman" w:hAnsi="Times New Roman"/>
          <w:b/>
          <w:bCs/>
          <w:caps/>
          <w:sz w:val="28"/>
          <w:szCs w:val="28"/>
        </w:rPr>
        <w:t xml:space="preserve">METHODOLOGY AND FORENSIC AUDIT</w:t>
      </w:r>
    </w:p>
    <w:p>
      <w:pPr>
        <w:spacing w:before="0" w:after="160"/>
      </w:pPr>
      <w:r>
        <w:t xml:space="preserve"/>
      </w:r>
    </w:p>
    <w:p>
      <w:pPr>
        <w:pStyle w:val="Heading2"/>
        <w:spacing w:before="300" w:after="160"/>
      </w:pPr>
      <w:r>
        <w:rPr>
          <w:rFonts w:ascii="Times New Roman" w:cs="Times New Roman" w:eastAsia="Times New Roman" w:hAnsi="Times New Roman"/>
          <w:b/>
          <w:bCs/>
          <w:sz w:val="24"/>
          <w:szCs w:val="24"/>
        </w:rPr>
        <w:t xml:space="preserve">3.0 Overview</w:t>
      </w:r>
    </w:p>
    <w:p>
      <w:pPr>
        <w:spacing w:before="0" w:after="160" w:line="276"/>
        <w:jc w:val="both"/>
      </w:pPr>
      <w:r>
        <w:rPr>
          <w:rFonts w:ascii="Times New Roman" w:cs="Times New Roman" w:eastAsia="Times New Roman" w:hAnsi="Times New Roman"/>
          <w:sz w:val="24"/>
          <w:szCs w:val="24"/>
        </w:rPr>
        <w:t xml:space="preserve">This chapter delineates the research strategy employed to evaluate the current infrastructure of the NYSC Mobilization Platform and to design a superior alternative. The methodology adopts a hybrid approach: a Forensic Architectural Audit of the live production environment to establish baseline failure metrics, followed by a Comparative Simulation of a proposed Cloud-Native architecture. All data presented in this chapter was collected on 16 March 2026, during an active Batch A 2026 mobilization window (12 March – 18 March 2026), ensuring that all measurements reflect real server behaviour under authentic peak registration load.</w:t>
      </w:r>
    </w:p>
    <w:p>
      <w:pPr>
        <w:spacing w:before="0" w:after="160"/>
      </w:pPr>
      <w:r>
        <w:t xml:space="preserve"/>
      </w:r>
    </w:p>
    <w:p>
      <w:pPr>
        <w:pStyle w:val="Heading2"/>
        <w:spacing w:before="300" w:after="160"/>
      </w:pPr>
      <w:r>
        <w:rPr>
          <w:rFonts w:ascii="Times New Roman" w:cs="Times New Roman" w:eastAsia="Times New Roman" w:hAnsi="Times New Roman"/>
          <w:b/>
          <w:bCs/>
          <w:sz w:val="24"/>
          <w:szCs w:val="24"/>
        </w:rPr>
        <w:t xml:space="preserve">3.1 Research Design</w:t>
      </w:r>
    </w:p>
    <w:p>
      <w:pPr>
        <w:spacing w:before="0" w:after="160" w:line="276"/>
        <w:jc w:val="both"/>
      </w:pPr>
      <w:r>
        <w:rPr>
          <w:rFonts w:ascii="Times New Roman" w:cs="Times New Roman" w:eastAsia="Times New Roman" w:hAnsi="Times New Roman"/>
          <w:sz w:val="24"/>
          <w:szCs w:val="24"/>
        </w:rPr>
        <w:t xml:space="preserve">This study employs a Quantitative Experimental Design grounded in the Digital Twin concept. The research is structured across three sequential phases, each addressing a distinct dimension of the problem statement.</w:t>
      </w:r>
    </w:p>
    <w:p>
      <w:pPr>
        <w:spacing w:before="0" w:after="160"/>
      </w:pPr>
      <w:r>
        <w:t xml:space="preserve"/>
      </w:r>
    </w:p>
    <w:p>
      <w:pPr>
        <w:spacing w:before="0" w:after="160" w:line="276"/>
        <w:jc w:val="both"/>
      </w:pPr>
      <w:r>
        <w:rPr>
          <w:rFonts w:ascii="Times New Roman" w:cs="Times New Roman" w:eastAsia="Times New Roman" w:hAnsi="Times New Roman"/>
          <w:b/>
          <w:bCs/>
          <w:sz w:val="24"/>
          <w:szCs w:val="24"/>
        </w:rPr>
        <w:t xml:space="preserve">Phase I — Passive Forensic Audit.</w:t>
      </w:r>
      <w:r>
        <w:rPr>
          <w:rFonts w:ascii="Times New Roman" w:cs="Times New Roman" w:eastAsia="Times New Roman" w:hAnsi="Times New Roman"/>
          <w:sz w:val="24"/>
          <w:szCs w:val="24"/>
        </w:rPr>
        <w:t xml:space="preserve">  Non-intrusive network and performance analysis tools were deployed against the live NYSC portal during an active mobilization registration window. This phase strictly adhered to ethical guidelines: no authentication was bypassed, no credentials were submitted, and all data was collected through passive observation only. This approach ensures full compliance with the Nigerian Cybercrime Act (2015), which prohibits unauthorized interference with computer systems.</w:t>
      </w:r>
    </w:p>
    <w:p>
      <w:pPr>
        <w:spacing w:before="0" w:after="160"/>
      </w:pPr>
      <w:r>
        <w:t xml:space="preserve"/>
      </w:r>
    </w:p>
    <w:p>
      <w:pPr>
        <w:spacing w:before="0" w:after="160" w:line="276"/>
        <w:jc w:val="both"/>
      </w:pPr>
      <w:r>
        <w:rPr>
          <w:rFonts w:ascii="Times New Roman" w:cs="Times New Roman" w:eastAsia="Times New Roman" w:hAnsi="Times New Roman"/>
          <w:b/>
          <w:bCs/>
          <w:sz w:val="24"/>
          <w:szCs w:val="24"/>
        </w:rPr>
        <w:t xml:space="preserve">Phase II — User Impact Assessment.</w:t>
      </w:r>
      <w:r>
        <w:rPr>
          <w:rFonts w:ascii="Times New Roman" w:cs="Times New Roman" w:eastAsia="Times New Roman" w:hAnsi="Times New Roman"/>
          <w:sz w:val="24"/>
          <w:szCs w:val="24"/>
        </w:rPr>
        <w:t xml:space="preserve">  A structured questionnaire administered to recent NYSC registrants to document the human consequence of the technical failures identified in Phase I. This mixed-method component connects network-layer findings to real-world user experience outcomes.</w:t>
      </w:r>
    </w:p>
    <w:p>
      <w:pPr>
        <w:spacing w:before="0" w:after="160"/>
      </w:pPr>
      <w:r>
        <w:t xml:space="preserve"/>
      </w:r>
    </w:p>
    <w:p>
      <w:pPr>
        <w:spacing w:before="0" w:after="160" w:line="276"/>
        <w:jc w:val="both"/>
      </w:pPr>
      <w:r>
        <w:rPr>
          <w:rFonts w:ascii="Times New Roman" w:cs="Times New Roman" w:eastAsia="Times New Roman" w:hAnsi="Times New Roman"/>
          <w:b/>
          <w:bCs/>
          <w:sz w:val="24"/>
          <w:szCs w:val="24"/>
        </w:rPr>
        <w:t xml:space="preserve">Phase III — Digital Twin Simulation.</w:t>
      </w:r>
      <w:r>
        <w:rPr>
          <w:rFonts w:ascii="Times New Roman" w:cs="Times New Roman" w:eastAsia="Times New Roman" w:hAnsi="Times New Roman"/>
          <w:sz w:val="24"/>
          <w:szCs w:val="24"/>
        </w:rPr>
        <w:t xml:space="preserve">  Due to the legal and ethical constraints of stress-testing a live government asset, a representative replica was constructed in a controlled Amazon Web Services (AWS) environment. This allowed for aggressive load testing (10,000+ concurrent requests) to measure the performance ceiling of Fixed versus Elastic architectures under conditions equivalent to peak NYSC mobilization traffic.</w:t>
      </w:r>
    </w:p>
    <w:p>
      <w:pPr>
        <w:spacing w:before="0" w:after="160"/>
      </w:pPr>
      <w:r>
        <w:t xml:space="preserve"/>
      </w:r>
    </w:p>
    <w:p>
      <w:pPr>
        <w:pStyle w:val="Heading2"/>
        <w:spacing w:before="300" w:after="160"/>
      </w:pPr>
      <w:r>
        <w:rPr>
          <w:rFonts w:ascii="Times New Roman" w:cs="Times New Roman" w:eastAsia="Times New Roman" w:hAnsi="Times New Roman"/>
          <w:b/>
          <w:bCs/>
          <w:sz w:val="24"/>
          <w:szCs w:val="24"/>
        </w:rPr>
        <w:t xml:space="preserve">3.2 Data Collection: Forensic Audit of the Live Production Environment</w:t>
      </w:r>
    </w:p>
    <w:p>
      <w:pPr>
        <w:spacing w:before="0" w:after="160" w:line="276"/>
        <w:jc w:val="both"/>
      </w:pPr>
      <w:r>
        <w:rPr>
          <w:rFonts w:ascii="Times New Roman" w:cs="Times New Roman" w:eastAsia="Times New Roman" w:hAnsi="Times New Roman"/>
          <w:sz w:val="24"/>
          <w:szCs w:val="24"/>
        </w:rPr>
        <w:t xml:space="preserve">Data collection was conducted within a two-hour window on the morning of 16 March 2026, between 09:00 and 11:30 WAT, representing peak weekday traffic during the final days of the Batch A 2026 registration window. The test environment consisted of a Windows 10 PC (Version 10.0.21996.1) running Google Chrome 146.0.0.0, connected via a home WiFi network in Maiduguri, Nigeria. To ensure reproducibility and rule out anomalous readings, each diagnostic tool was executed across three timed runs with thirty-minute intervals between runs. The target server IP, 102.216.134.80, remained consistent across all runs, confirming a stable resolution path throughout the collection window.</w:t>
      </w:r>
    </w:p>
    <w:p>
      <w:pPr>
        <w:spacing w:before="0" w:after="160"/>
      </w:pPr>
      <w:r>
        <w:t xml:space="preserve"/>
      </w:r>
    </w:p>
    <w:p>
      <w:pPr>
        <w:pStyle w:val="Heading3"/>
        <w:spacing w:before="240" w:after="120"/>
      </w:pPr>
      <w:r>
        <w:rPr>
          <w:rFonts w:ascii="Times New Roman" w:cs="Times New Roman" w:eastAsia="Times New Roman" w:hAnsi="Times New Roman"/>
          <w:b/>
          <w:bCs/>
          <w:i/>
          <w:iCs/>
          <w:sz w:val="24"/>
          <w:szCs w:val="24"/>
        </w:rPr>
        <w:t xml:space="preserve">3.2.1 Network Topology and Latency Analysis (ICMP TraceRoute)</w:t>
      </w:r>
    </w:p>
    <w:p>
      <w:pPr>
        <w:spacing w:before="0" w:after="160" w:line="276"/>
        <w:jc w:val="both"/>
      </w:pPr>
      <w:r>
        <w:rPr>
          <w:rFonts w:ascii="Times New Roman" w:cs="Times New Roman" w:eastAsia="Times New Roman" w:hAnsi="Times New Roman"/>
          <w:sz w:val="24"/>
          <w:szCs w:val="24"/>
        </w:rPr>
        <w:t xml:space="preserve">To map the physical movement of data packets from the end-user to the host server, an ICMP TraceRoute analysis was conducted using the native Windows tracert command, executed three times at thirty-minute intervals to capture temporal variation in server responsiveness.</w:t>
      </w:r>
    </w:p>
    <w:p>
      <w:pPr>
        <w:spacing w:before="0" w:after="160"/>
      </w:pPr>
      <w:r>
        <w:t xml:space="preserve"/>
      </w:r>
    </w:p>
    <w:p>
      <w:pPr>
        <w:spacing w:before="0" w:after="160" w:line="276"/>
        <w:jc w:val="both"/>
      </w:pPr>
      <w:r>
        <w:rPr>
          <w:rFonts w:ascii="Times New Roman" w:cs="Times New Roman" w:eastAsia="Times New Roman" w:hAnsi="Times New Roman"/>
          <w:b/>
          <w:bCs/>
          <w:sz w:val="24"/>
          <w:szCs w:val="24"/>
        </w:rPr>
        <w:t xml:space="preserve">Data Source: </w:t>
      </w:r>
      <w:r>
        <w:rPr>
          <w:rFonts w:ascii="Times New Roman" w:cs="Times New Roman" w:eastAsia="Times New Roman" w:hAnsi="Times New Roman"/>
          <w:sz w:val="24"/>
          <w:szCs w:val="24"/>
        </w:rPr>
        <w:t xml:space="preserve">Network Path Log (See Table 3.6).</w:t>
      </w:r>
    </w:p>
    <w:p>
      <w:pPr>
        <w:spacing w:before="0" w:after="160" w:line="276"/>
        <w:jc w:val="both"/>
      </w:pPr>
      <w:r>
        <w:rPr>
          <w:rFonts w:ascii="Times New Roman" w:cs="Times New Roman" w:eastAsia="Times New Roman" w:hAnsi="Times New Roman"/>
          <w:b/>
          <w:bCs/>
          <w:sz w:val="24"/>
          <w:szCs w:val="24"/>
        </w:rPr>
        <w:t xml:space="preserve">Findings: </w:t>
      </w:r>
      <w:r>
        <w:rPr>
          <w:rFonts w:ascii="Times New Roman" w:cs="Times New Roman" w:eastAsia="Times New Roman" w:hAnsi="Times New Roman"/>
          <w:sz w:val="24"/>
          <w:szCs w:val="24"/>
        </w:rPr>
        <w:t xml:space="preserve">The trace revealed an eleven-hop path terminating at IP address 102.216.134.80, confirmed as the NYSC portal server. Hops 12 through 30 timed out uniformly across all three runs, consistent with standard ICMP packet filtering at the server perimeter and not indicative of network failure. The local connection at Hop 1 remained stable at 5–7ms throughout, effectively ruling out the test environment as a source of latency.</w:t>
      </w:r>
    </w:p>
    <w:p>
      <w:pPr>
        <w:spacing w:before="0" w:after="160"/>
      </w:pPr>
      <w:r>
        <w:t xml:space="preserve"/>
      </w:r>
    </w:p>
    <w:p>
      <w:pPr>
        <w:spacing w:before="0" w:after="160" w:line="276"/>
        <w:jc w:val="both"/>
      </w:pPr>
      <w:r>
        <w:rPr>
          <w:rFonts w:ascii="Times New Roman" w:cs="Times New Roman" w:eastAsia="Times New Roman" w:hAnsi="Times New Roman"/>
          <w:b/>
          <w:bCs/>
          <w:sz w:val="24"/>
          <w:szCs w:val="24"/>
        </w:rPr>
        <w:t xml:space="preserve">Latency Bottleneck: </w:t>
      </w:r>
      <w:r>
        <w:rPr>
          <w:rFonts w:ascii="Times New Roman" w:cs="Times New Roman" w:eastAsia="Times New Roman" w:hAnsi="Times New Roman"/>
          <w:sz w:val="24"/>
          <w:szCs w:val="24"/>
        </w:rPr>
        <w:t xml:space="preserve">Hop 8, resolved to ixpn-lagos.dolphintelecom.net (196.216.148.46), identifies the Internet Exchange Point of Nigeria (IXPN) in Lagos as a transit node for all traffic between the test location and the server. This confirms that all user connections from across Nigeria are funnelled through a single exchange point before reaching the portal. A critical degradation trend was observed across the three runs: the final-hop latency to the NYSC server increased from 157ms in Run 1 to 240ms in Run 3, representing a 53% deterioration within a single two-hour audit window. Simultaneously, the IXPN Lagos node recorded a peak spike of 588ms in Run 3, consistent with exchange-point congestion under sustained registration traffic.</w:t>
      </w:r>
    </w:p>
    <w:p>
      <w:pPr>
        <w:spacing w:before="0" w:after="160"/>
      </w:pPr>
      <w:r>
        <w:t xml:space="preserve"/>
      </w:r>
    </w:p>
    <w:p>
      <w:pPr>
        <w:spacing w:before="80" w:after="200"/>
        <w:jc w:val="center"/>
      </w:pPr>
      <w:r>
        <w:rPr>
          <w:rFonts w:ascii="Times New Roman" w:cs="Times New Roman" w:eastAsia="Times New Roman" w:hAnsi="Times New Roman"/>
          <w:b/>
          <w:bCs/>
          <w:sz w:val="22"/>
          <w:szCs w:val="22"/>
        </w:rPr>
        <w:t xml:space="preserve">Table 3.6: TraceRoute Summary — Three-Run Latency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20"/>
        <w:gridCol w:w="1720"/>
        <w:gridCol w:w="1720"/>
        <w:gridCol w:w="200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Metric</w:t>
            </w:r>
          </w:p>
        </w:tc>
        <w:tc>
          <w:tcPr>
            <w:tcW w:type="dxa" w:w="17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Run 1</w:t>
            </w:r>
          </w:p>
        </w:tc>
        <w:tc>
          <w:tcPr>
            <w:tcW w:type="dxa" w:w="17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Run 2</w:t>
            </w:r>
          </w:p>
        </w:tc>
        <w:tc>
          <w:tcPr>
            <w:tcW w:type="dxa" w:w="17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Run 3</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Observation</w:t>
            </w:r>
          </w:p>
        </w:tc>
      </w:tr>
      <w:tr>
        <w:tc>
          <w:tcPr>
            <w:tcW w:type="dxa" w:w="22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Final Hop Latency (ms)</w:t>
            </w:r>
          </w:p>
        </w:tc>
        <w:tc>
          <w:tcPr>
            <w:tcW w:type="dxa" w:w="172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157</w:t>
            </w:r>
          </w:p>
        </w:tc>
        <w:tc>
          <w:tcPr>
            <w:tcW w:type="dxa" w:w="172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180</w:t>
            </w:r>
          </w:p>
        </w:tc>
        <w:tc>
          <w:tcPr>
            <w:tcW w:type="dxa" w:w="172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240</w:t>
            </w:r>
          </w:p>
        </w:tc>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C00000"/>
                <w:sz w:val="22"/>
                <w:szCs w:val="22"/>
              </w:rPr>
              <w:t xml:space="preserve">+53% degradation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IXPN Lagos — Hop 7/8 (ms)</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88</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157</w:t>
            </w:r>
          </w:p>
        </w:tc>
        <w:tc>
          <w:tcPr>
            <w:tcW w:type="dxa" w:w="172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588</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Exchange point bottleneck</w:t>
            </w:r>
          </w:p>
        </w:tc>
      </w:tr>
      <w:tr>
        <w:tc>
          <w:tcPr>
            <w:tcW w:type="dxa" w:w="22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Local Router — Hop 1 (ms)</w:t>
            </w:r>
          </w:p>
        </w:tc>
        <w:tc>
          <w:tcPr>
            <w:tcW w:type="dxa" w:w="172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6</w:t>
            </w:r>
          </w:p>
        </w:tc>
        <w:tc>
          <w:tcPr>
            <w:tcW w:type="dxa" w:w="172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7</w:t>
            </w:r>
          </w:p>
        </w:tc>
        <w:tc>
          <w:tcPr>
            <w:tcW w:type="dxa" w:w="172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7</w:t>
            </w:r>
          </w:p>
        </w:tc>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Stable — local ruled out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Total Meaningful Hops</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11</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11</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Consistent path</w:t>
            </w:r>
          </w:p>
        </w:tc>
      </w:tr>
    </w:tbl>
    <w:p>
      <w:pPr>
        <w:spacing w:before="80" w:after="160"/>
        <w:jc w:val="both"/>
      </w:pPr>
      <w:r>
        <w:rPr>
          <w:rFonts w:ascii="Times New Roman" w:cs="Times New Roman" w:eastAsia="Times New Roman" w:hAnsi="Times New Roman"/>
          <w:i/>
          <w:iCs/>
          <w:color w:val="444444"/>
          <w:sz w:val="20"/>
          <w:szCs w:val="20"/>
        </w:rPr>
        <w:t xml:space="preserve">Note: All three runs conducted on 16 March 2026 during active Batch A 2026 mobilization window. Final server IP 102.216.134.80 consistent across all runs. Hop 1 stability confirms local network is not the source of observed latency.</w:t>
      </w:r>
    </w:p>
    <w:p>
      <w:pPr>
        <w:spacing w:before="0" w:after="160"/>
      </w:pPr>
      <w:r>
        <w:t xml:space="preserve"/>
      </w:r>
    </w:p>
    <w:p>
      <w:pPr>
        <w:pStyle w:val="Heading3"/>
        <w:spacing w:before="240" w:after="120"/>
      </w:pPr>
      <w:r>
        <w:rPr>
          <w:rFonts w:ascii="Times New Roman" w:cs="Times New Roman" w:eastAsia="Times New Roman" w:hAnsi="Times New Roman"/>
          <w:b/>
          <w:bCs/>
          <w:i/>
          <w:iCs/>
          <w:sz w:val="24"/>
          <w:szCs w:val="24"/>
        </w:rPr>
        <w:t xml:space="preserve">3.2.2 Load Performance and Request Blocking (HAR Analysis)</w:t>
      </w:r>
    </w:p>
    <w:p>
      <w:pPr>
        <w:spacing w:before="0" w:after="160" w:line="276"/>
        <w:jc w:val="both"/>
      </w:pPr>
      <w:r>
        <w:rPr>
          <w:rFonts w:ascii="Times New Roman" w:cs="Times New Roman" w:eastAsia="Times New Roman" w:hAnsi="Times New Roman"/>
          <w:sz w:val="24"/>
          <w:szCs w:val="24"/>
        </w:rPr>
        <w:t xml:space="preserve">HTTP Archive (HAR) logs were captured using Google Chrome DevTools with cache disabled, ensuring each run simulated the experience of a first-time user with no cached assets. Three complete capture runs were performed at thirty-minute intervals, with each run allowing the page up to three minutes to load or until the browser loading spinner ceased, whichever occurred first.</w:t>
      </w:r>
    </w:p>
    <w:p>
      <w:pPr>
        <w:spacing w:before="0" w:after="160"/>
      </w:pPr>
      <w:r>
        <w:t xml:space="preserve"/>
      </w:r>
    </w:p>
    <w:p>
      <w:pPr>
        <w:spacing w:before="0" w:after="160" w:line="276"/>
        <w:jc w:val="both"/>
      </w:pPr>
      <w:r>
        <w:rPr>
          <w:rFonts w:ascii="Times New Roman" w:cs="Times New Roman" w:eastAsia="Times New Roman" w:hAnsi="Times New Roman"/>
          <w:b/>
          <w:bCs/>
          <w:sz w:val="24"/>
          <w:szCs w:val="24"/>
        </w:rPr>
        <w:t xml:space="preserve">Data Source: </w:t>
      </w:r>
      <w:r>
        <w:rPr>
          <w:rFonts w:ascii="Times New Roman" w:cs="Times New Roman" w:eastAsia="Times New Roman" w:hAnsi="Times New Roman"/>
          <w:sz w:val="24"/>
          <w:szCs w:val="24"/>
        </w:rPr>
        <w:t xml:space="preserve">Browser Network Waterfall Logs (See Table 3.1 and Table 3.2).</w:t>
      </w:r>
    </w:p>
    <w:p>
      <w:pPr>
        <w:spacing w:before="0" w:after="160"/>
      </w:pPr>
      <w:r>
        <w:t xml:space="preserve"/>
      </w:r>
    </w:p>
    <w:p>
      <w:pPr>
        <w:spacing w:before="0" w:after="160" w:line="276"/>
        <w:jc w:val="both"/>
      </w:pPr>
      <w:r>
        <w:rPr>
          <w:rFonts w:ascii="Times New Roman" w:cs="Times New Roman" w:eastAsia="Times New Roman" w:hAnsi="Times New Roman"/>
          <w:b/>
          <w:bCs/>
          <w:sz w:val="24"/>
          <w:szCs w:val="24"/>
        </w:rPr>
        <w:t xml:space="preserve">Finding 1 — Zombie Loading (Critical):</w:t>
      </w:r>
      <w:r>
        <w:rPr>
          <w:rFonts w:ascii="Times New Roman" w:cs="Times New Roman" w:eastAsia="Times New Roman" w:hAnsi="Times New Roman"/>
          <w:sz w:val="24"/>
          <w:szCs w:val="24"/>
        </w:rPr>
        <w:t xml:space="preserve">  The most significant finding of this audit is that the NYSC portal never successfully rendered across any of the three HAR capture runs. While the browser recorded a nominal finish time of 2.09 seconds in Run 1 and 4.27 seconds in Run 3, the page loading spinner continued indefinitely in all three instances, and the onContentLoad event — the standard browser signal that the page is usable — returned NULL in every run. This condition, termed zombie loading, indicates that the browser received data from the server but could not assemble a functional page from it. The portal was therefore not merely slow; it was functionally inaccessible for the entirety of the collection window.</w:t>
      </w:r>
    </w:p>
    <w:p>
      <w:pPr>
        <w:spacing w:before="0" w:after="160"/>
      </w:pPr>
      <w:r>
        <w:t xml:space="preserve"/>
      </w:r>
    </w:p>
    <w:p>
      <w:pPr>
        <w:spacing w:before="0" w:after="160" w:line="276"/>
        <w:jc w:val="both"/>
      </w:pPr>
      <w:r>
        <w:rPr>
          <w:rFonts w:ascii="Times New Roman" w:cs="Times New Roman" w:eastAsia="Times New Roman" w:hAnsi="Times New Roman"/>
          <w:b/>
          <w:bCs/>
          <w:sz w:val="24"/>
          <w:szCs w:val="24"/>
        </w:rPr>
        <w:t xml:space="preserve">Finding 2 — Thread Pool Starvation (Critical):</w:t>
      </w:r>
      <w:r>
        <w:rPr>
          <w:rFonts w:ascii="Times New Roman" w:cs="Times New Roman" w:eastAsia="Times New Roman" w:hAnsi="Times New Roman"/>
          <w:sz w:val="24"/>
          <w:szCs w:val="24"/>
        </w:rPr>
        <w:t xml:space="preserve">  Waterfall analysis of the HAR files revealed pervasive and severe thread blocking across all requests. In Run 3, the total cumulative thread blocking across all 48 requests reached 55,589ms (55.59 seconds), exceeding the industry benchmark of 300ms by a factor of 185. The maximum blocking duration for a single request reached 2,582ms, against a standard of 300ms. The average blocking time per individual request was 1,158ms, meaning every asset download was queued for over one second before the server began processing it. This pattern is the diagnostic signature of IIS Thread Pool Starvation, a condition in which the server’s worker process queue is exhausted and incoming requests are forced to wait for a free thread. Critically, this condition worsened progressively across the three runs, with total cumulative blocking increasing 66% from Run 1 (33.43s) to Run 3 (55.59s), confirming that the server degrades under sustained load rather than stabilising.</w:t>
      </w:r>
    </w:p>
    <w:p>
      <w:pPr>
        <w:spacing w:before="0" w:after="160"/>
      </w:pPr>
      <w:r>
        <w:t xml:space="preserve"/>
      </w:r>
    </w:p>
    <w:p>
      <w:pPr>
        <w:spacing w:before="0" w:after="160" w:line="276"/>
        <w:jc w:val="both"/>
      </w:pPr>
      <w:r>
        <w:rPr>
          <w:rFonts w:ascii="Times New Roman" w:cs="Times New Roman" w:eastAsia="Times New Roman" w:hAnsi="Times New Roman"/>
          <w:b/>
          <w:bCs/>
          <w:sz w:val="24"/>
          <w:szCs w:val="24"/>
        </w:rPr>
        <w:t xml:space="preserve">Finding 3 — Blocked Script Dependencies (Critical):</w:t>
      </w:r>
      <w:r>
        <w:rPr>
          <w:rFonts w:ascii="Times New Roman" w:cs="Times New Roman" w:eastAsia="Times New Roman" w:hAnsi="Times New Roman"/>
          <w:sz w:val="24"/>
          <w:szCs w:val="24"/>
        </w:rPr>
        <w:t xml:space="preserve">  Two core JavaScript libraries, jquery.min.js and leaflet.js, were blocked in all three capture runs, returning 0.0 kB transferred and 0ms load time. Investigation of the request headers revealed that both files are served over HTTP within an HTTPS page context, causing Chrome’s Mixed Content Protection to silently block them. jQuery is a foundational dependency of the portal’s ASP.NET WebForms architecture; its blockage prevents the execution of all dependent page functions and is the proximate technical cause of the zombie loading condition. Compounding this, jQuery is loaded three times across the page — once from a local copy (jquery-1.9.1.min.js, released 2013), once from a second local copy served over HTTP (blocked), and once from an external Google CDN endpoint also served over HTTP (blocked). This represents both a redundancy failure and a Mixed Content violation.</w:t>
      </w:r>
    </w:p>
    <w:p>
      <w:pPr>
        <w:spacing w:before="0" w:after="160"/>
      </w:pPr>
      <w:r>
        <w:t xml:space="preserve"/>
      </w:r>
    </w:p>
    <w:p>
      <w:pPr>
        <w:spacing w:before="0" w:after="160" w:line="276"/>
        <w:jc w:val="both"/>
      </w:pPr>
      <w:r>
        <w:rPr>
          <w:rFonts w:ascii="Times New Roman" w:cs="Times New Roman" w:eastAsia="Times New Roman" w:hAnsi="Times New Roman"/>
          <w:b/>
          <w:bCs/>
          <w:sz w:val="24"/>
          <w:szCs w:val="24"/>
        </w:rPr>
        <w:t xml:space="preserve">Finding 4 — Progressive SSL Degradation (High):</w:t>
      </w:r>
      <w:r>
        <w:rPr>
          <w:rFonts w:ascii="Times New Roman" w:cs="Times New Roman" w:eastAsia="Times New Roman" w:hAnsi="Times New Roman"/>
          <w:sz w:val="24"/>
          <w:szCs w:val="24"/>
        </w:rPr>
        <w:t xml:space="preserve">  SSL/TLS handshake times deteriorated markedly across the three runs, with the maximum recorded SSL handshake time rising from 186ms in Run 1 to 1,010ms in Run 3 — a 135% increase. This indicates that under sustained mobilization traffic, the server struggles to negotiate even basic encryption handshakes. The simultaneous degradation of blocking times, TTFB, and SSL negotiation across the audit window points to a systemic compute capacity failure rather than any isolated component deficiency.</w:t>
      </w:r>
    </w:p>
    <w:p>
      <w:pPr>
        <w:spacing w:before="0" w:after="160"/>
      </w:pPr>
      <w:r>
        <w:t xml:space="preserve"/>
      </w:r>
    </w:p>
    <w:p>
      <w:pPr>
        <w:spacing w:before="80" w:after="200"/>
        <w:jc w:val="center"/>
      </w:pPr>
      <w:r>
        <w:rPr>
          <w:rFonts w:ascii="Times New Roman" w:cs="Times New Roman" w:eastAsia="Times New Roman" w:hAnsi="Times New Roman"/>
          <w:b/>
          <w:bCs/>
          <w:sz w:val="22"/>
          <w:szCs w:val="22"/>
        </w:rPr>
        <w:t xml:space="preserve">Table 3.1: Baseline Performance Metrics of the Live Production Environment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400"/>
        <w:gridCol w:w="29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Performance Metric</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Observed Value</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Industry Standard</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Deviation</w:t>
            </w:r>
          </w:p>
        </w:tc>
        <w:tc>
          <w:tcPr>
            <w:tcW w:type="dxa" w:w="2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Engineering Implication</w:t>
            </w:r>
          </w:p>
        </w:tc>
      </w:tr>
      <w:tr>
        <w:tc>
          <w:tcPr>
            <w:tcW w:type="dxa" w:w="22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Max Single Thread Block (Run 3)</w:t>
            </w:r>
          </w:p>
        </w:tc>
        <w:tc>
          <w:tcPr>
            <w:tcW w:type="dxa" w:w="15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C00000"/>
                <w:sz w:val="22"/>
                <w:szCs w:val="22"/>
              </w:rPr>
              <w:t xml:space="preserve">2,582 ms</w:t>
            </w:r>
          </w:p>
        </w:tc>
        <w:tc>
          <w:tcPr>
            <w:tcW w:type="dxa" w:w="15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&lt; 300 ms</w:t>
            </w:r>
          </w:p>
        </w:tc>
        <w:tc>
          <w:tcPr>
            <w:tcW w:type="dxa" w:w="14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C00000"/>
                <w:sz w:val="22"/>
                <w:szCs w:val="22"/>
              </w:rPr>
              <w:t xml:space="preserve">8.6x</w:t>
            </w:r>
          </w:p>
        </w:tc>
        <w:tc>
          <w:tcPr>
            <w:tcW w:type="dxa" w:w="29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Individual requests blocked for 2.5+ seconds. Server unable to process concurrent requests.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Total Cumulative Thread Blocking (Run 3)</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C00000"/>
                <w:sz w:val="22"/>
                <w:szCs w:val="22"/>
              </w:rPr>
              <w:t xml:space="preserve">55,589 ms (55.59 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&lt; 300 ms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C00000"/>
                <w:sz w:val="22"/>
                <w:szCs w:val="22"/>
              </w:rPr>
              <w:t xml:space="preserve">185x</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Cumulative IIS Thread Pool Starvation confirmed. CPU locked for 55 seconds per page load cycle.</w:t>
            </w:r>
          </w:p>
        </w:tc>
      </w:tr>
      <w:tr>
        <w:tc>
          <w:tcPr>
            <w:tcW w:type="dxa" w:w="22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Average Block per Request</w:t>
            </w:r>
          </w:p>
        </w:tc>
        <w:tc>
          <w:tcPr>
            <w:tcW w:type="dxa" w:w="15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C00000"/>
                <w:sz w:val="22"/>
                <w:szCs w:val="22"/>
              </w:rPr>
              <w:t xml:space="preserve">1,158 ms</w:t>
            </w:r>
          </w:p>
        </w:tc>
        <w:tc>
          <w:tcPr>
            <w:tcW w:type="dxa" w:w="15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&lt; 10 ms</w:t>
            </w:r>
          </w:p>
        </w:tc>
        <w:tc>
          <w:tcPr>
            <w:tcW w:type="dxa" w:w="14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C00000"/>
                <w:sz w:val="22"/>
                <w:szCs w:val="22"/>
              </w:rPr>
              <w:t xml:space="preserve">115x</w:t>
            </w:r>
          </w:p>
        </w:tc>
        <w:tc>
          <w:tcPr>
            <w:tcW w:type="dxa" w:w="29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Every single request queued for over 1 second before processing begins.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Time to First Byte — TTFB (Run 3)</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FF8000"/>
                <w:sz w:val="22"/>
                <w:szCs w:val="22"/>
              </w:rPr>
              <w:t xml:space="preserve">489 ms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&lt; 800 ms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FF8000"/>
                <w:sz w:val="22"/>
                <w:szCs w:val="22"/>
              </w:rPr>
              <w:t xml:space="preserve">Borderline</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Database response approaching threshold under sustained load. Degrading across runs.</w:t>
            </w:r>
          </w:p>
        </w:tc>
      </w:tr>
      <w:tr>
        <w:tc>
          <w:tcPr>
            <w:tcW w:type="dxa" w:w="22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SSL Handshake — Max (Run 3)</w:t>
            </w:r>
          </w:p>
        </w:tc>
        <w:tc>
          <w:tcPr>
            <w:tcW w:type="dxa" w:w="15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C00000"/>
                <w:sz w:val="22"/>
                <w:szCs w:val="22"/>
              </w:rPr>
              <w:t xml:space="preserve">1,010 ms</w:t>
            </w:r>
          </w:p>
        </w:tc>
        <w:tc>
          <w:tcPr>
            <w:tcW w:type="dxa" w:w="15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&lt; 200 ms</w:t>
            </w:r>
          </w:p>
        </w:tc>
        <w:tc>
          <w:tcPr>
            <w:tcW w:type="dxa" w:w="14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C00000"/>
                <w:sz w:val="22"/>
                <w:szCs w:val="22"/>
              </w:rPr>
              <w:t xml:space="preserve">5x</w:t>
            </w:r>
          </w:p>
        </w:tc>
        <w:tc>
          <w:tcPr>
            <w:tcW w:type="dxa" w:w="29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TLS negotiation collapsing under load. Security layer itself degrading under mobilization traffic.</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onContentLoad Time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C00000"/>
                <w:sz w:val="22"/>
                <w:szCs w:val="22"/>
              </w:rPr>
              <w:t xml:space="preserve">NULL (all 3 runs)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&lt; 2,500 ms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C00000"/>
                <w:sz w:val="22"/>
                <w:szCs w:val="22"/>
              </w:rPr>
              <w:t xml:space="preserve">Critically Failed</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Page never completed loading in any run. Browser unable to record a content load event.</w:t>
            </w:r>
          </w:p>
        </w:tc>
      </w:tr>
      <w:tr>
        <w:tc>
          <w:tcPr>
            <w:tcW w:type="dxa" w:w="22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Slowest Single Request (Run 3)</w:t>
            </w:r>
          </w:p>
        </w:tc>
        <w:tc>
          <w:tcPr>
            <w:tcW w:type="dxa" w:w="15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C00000"/>
                <w:sz w:val="22"/>
                <w:szCs w:val="22"/>
              </w:rPr>
              <w:t xml:space="preserve">2,810 ms</w:t>
            </w:r>
          </w:p>
        </w:tc>
        <w:tc>
          <w:tcPr>
            <w:tcW w:type="dxa" w:w="15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&lt; 500 ms</w:t>
            </w:r>
          </w:p>
        </w:tc>
        <w:tc>
          <w:tcPr>
            <w:tcW w:type="dxa" w:w="14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C00000"/>
                <w:sz w:val="22"/>
                <w:szCs w:val="22"/>
              </w:rPr>
              <w:t xml:space="preserve">5.6x</w:t>
            </w:r>
          </w:p>
        </w:tc>
        <w:tc>
          <w:tcPr>
            <w:tcW w:type="dxa" w:w="29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Individual asset delivery taking 2.8 seconds. Advertisement image (youthplusAD.jpg) among heaviest assets.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Interaction to Next Paint — INP (Mobile)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C00000"/>
                <w:sz w:val="22"/>
                <w:szCs w:val="22"/>
              </w:rPr>
              <w:t xml:space="preserve">294 ms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&lt; 200 ms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C00000"/>
                <w:sz w:val="22"/>
                <w:szCs w:val="22"/>
              </w:rPr>
              <w:t xml:space="preserve">Failed</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Every button tap or form field interaction is delayed by 294ms. Directly impairs registration form usability.</w:t>
            </w:r>
          </w:p>
        </w:tc>
      </w:tr>
    </w:tbl>
    <w:p>
      <w:pPr>
        <w:spacing w:before="80" w:after="160"/>
        <w:jc w:val="both"/>
      </w:pPr>
      <w:r>
        <w:rPr>
          <w:rFonts w:ascii="Times New Roman" w:cs="Times New Roman" w:eastAsia="Times New Roman" w:hAnsi="Times New Roman"/>
          <w:i/>
          <w:iCs/>
          <w:color w:val="444444"/>
          <w:sz w:val="20"/>
          <w:szCs w:val="20"/>
        </w:rPr>
        <w:t xml:space="preserve">Note: All values sourced from HAR files captured during active Batch A 2026 mobilization window, 16 March 2026. Run 3 values used for worst-case metrics. Industry standards sourced from Google Core Web Vitals thresholds and W3C Web Performance Working Group guidelines.</w:t>
      </w:r>
    </w:p>
    <w:p>
      <w:pPr>
        <w:spacing w:before="0" w:after="160"/>
      </w:pPr>
      <w:r>
        <w:t xml:space="preserve"/>
      </w:r>
    </w:p>
    <w:p>
      <w:pPr>
        <w:spacing w:before="80" w:after="200"/>
        <w:jc w:val="center"/>
      </w:pPr>
      <w:r>
        <w:rPr>
          <w:rFonts w:ascii="Times New Roman" w:cs="Times New Roman" w:eastAsia="Times New Roman" w:hAnsi="Times New Roman"/>
          <w:b/>
          <w:bCs/>
          <w:sz w:val="22"/>
          <w:szCs w:val="22"/>
        </w:rPr>
        <w:t xml:space="preserve">Table 3.2: HAR Analysis — Cross-Run Comparison (Three Timed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Metric</w:t>
            </w:r>
          </w:p>
        </w:tc>
        <w:tc>
          <w:tcPr>
            <w:tcW w:type="dxa" w:w="165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Run 1</w:t>
            </w:r>
          </w:p>
        </w:tc>
        <w:tc>
          <w:tcPr>
            <w:tcW w:type="dxa" w:w="165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Run 2</w:t>
            </w:r>
          </w:p>
        </w:tc>
        <w:tc>
          <w:tcPr>
            <w:tcW w:type="dxa" w:w="165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Run 3</w:t>
            </w:r>
          </w:p>
        </w:tc>
        <w:tc>
          <w:tcPr>
            <w:tcW w:type="dxa" w:w="165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Trend (R1→R3)</w:t>
            </w:r>
          </w:p>
        </w:tc>
      </w:tr>
      <w:tr>
        <w:tc>
          <w:tcPr>
            <w:tcW w:type="dxa" w:w="27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Total Requests</w:t>
            </w:r>
          </w:p>
        </w:tc>
        <w:tc>
          <w:tcPr>
            <w:tcW w:type="dxa" w:w="165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48</w:t>
            </w:r>
          </w:p>
        </w:tc>
        <w:tc>
          <w:tcPr>
            <w:tcW w:type="dxa" w:w="165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44</w:t>
            </w:r>
          </w:p>
        </w:tc>
        <w:tc>
          <w:tcPr>
            <w:tcW w:type="dxa" w:w="165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48</w:t>
            </w:r>
          </w:p>
        </w:tc>
        <w:tc>
          <w:tcPr>
            <w:tcW w:type="dxa" w:w="165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Stable</w:t>
            </w:r>
          </w:p>
        </w:tc>
      </w:tr>
      <w:tr>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Max Single Block (ms)</w:t>
            </w:r>
          </w:p>
        </w:tc>
        <w:tc>
          <w:tcPr>
            <w:tcW w:type="dxa" w:w="1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1,504</w:t>
            </w:r>
          </w:p>
        </w:tc>
        <w:tc>
          <w:tcPr>
            <w:tcW w:type="dxa" w:w="1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1,563</w:t>
            </w:r>
          </w:p>
        </w:tc>
        <w:tc>
          <w:tcPr>
            <w:tcW w:type="dxa" w:w="165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2,582</w:t>
            </w:r>
          </w:p>
        </w:tc>
        <w:tc>
          <w:tcPr>
            <w:tcW w:type="dxa" w:w="1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C00000"/>
                <w:sz w:val="22"/>
                <w:szCs w:val="22"/>
              </w:rPr>
              <w:t xml:space="preserve">+72%</w:t>
            </w:r>
          </w:p>
        </w:tc>
      </w:tr>
      <w:tr>
        <w:tc>
          <w:tcPr>
            <w:tcW w:type="dxa" w:w="27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Total Cumulative Block (s)</w:t>
            </w:r>
          </w:p>
        </w:tc>
        <w:tc>
          <w:tcPr>
            <w:tcW w:type="dxa" w:w="165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33.43</w:t>
            </w:r>
          </w:p>
        </w:tc>
        <w:tc>
          <w:tcPr>
            <w:tcW w:type="dxa" w:w="165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32.68</w:t>
            </w:r>
          </w:p>
        </w:tc>
        <w:tc>
          <w:tcPr>
            <w:tcW w:type="dxa" w:w="165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55.59</w:t>
            </w:r>
          </w:p>
        </w:tc>
        <w:tc>
          <w:tcPr>
            <w:tcW w:type="dxa" w:w="165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C00000"/>
                <w:sz w:val="22"/>
                <w:szCs w:val="22"/>
              </w:rPr>
              <w:t xml:space="preserve">+66%</w:t>
            </w:r>
          </w:p>
        </w:tc>
      </w:tr>
      <w:tr>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Avg Block per Request (ms)</w:t>
            </w:r>
          </w:p>
        </w:tc>
        <w:tc>
          <w:tcPr>
            <w:tcW w:type="dxa" w:w="1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696</w:t>
            </w:r>
          </w:p>
        </w:tc>
        <w:tc>
          <w:tcPr>
            <w:tcW w:type="dxa" w:w="1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742</w:t>
            </w:r>
          </w:p>
        </w:tc>
        <w:tc>
          <w:tcPr>
            <w:tcW w:type="dxa" w:w="165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1,158</w:t>
            </w:r>
          </w:p>
        </w:tc>
        <w:tc>
          <w:tcPr>
            <w:tcW w:type="dxa" w:w="1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C00000"/>
                <w:sz w:val="22"/>
                <w:szCs w:val="22"/>
              </w:rPr>
              <w:t xml:space="preserve">+66%</w:t>
            </w:r>
          </w:p>
        </w:tc>
      </w:tr>
      <w:tr>
        <w:tc>
          <w:tcPr>
            <w:tcW w:type="dxa" w:w="27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Max TTFB — Wait (ms)</w:t>
            </w:r>
          </w:p>
        </w:tc>
        <w:tc>
          <w:tcPr>
            <w:tcW w:type="dxa" w:w="165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223</w:t>
            </w:r>
          </w:p>
        </w:tc>
        <w:tc>
          <w:tcPr>
            <w:tcW w:type="dxa" w:w="165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383</w:t>
            </w:r>
          </w:p>
        </w:tc>
        <w:tc>
          <w:tcPr>
            <w:tcW w:type="dxa" w:w="165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489</w:t>
            </w:r>
          </w:p>
        </w:tc>
        <w:tc>
          <w:tcPr>
            <w:tcW w:type="dxa" w:w="165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C00000"/>
                <w:sz w:val="22"/>
                <w:szCs w:val="22"/>
              </w:rPr>
              <w:t xml:space="preserve">+119%</w:t>
            </w:r>
          </w:p>
        </w:tc>
      </w:tr>
      <w:tr>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Max SSL Handshake (ms)</w:t>
            </w:r>
          </w:p>
        </w:tc>
        <w:tc>
          <w:tcPr>
            <w:tcW w:type="dxa" w:w="1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186</w:t>
            </w:r>
          </w:p>
        </w:tc>
        <w:tc>
          <w:tcPr>
            <w:tcW w:type="dxa" w:w="1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196</w:t>
            </w:r>
          </w:p>
        </w:tc>
        <w:tc>
          <w:tcPr>
            <w:tcW w:type="dxa" w:w="165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1,010</w:t>
            </w:r>
          </w:p>
        </w:tc>
        <w:tc>
          <w:tcPr>
            <w:tcW w:type="dxa" w:w="16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C00000"/>
                <w:sz w:val="22"/>
                <w:szCs w:val="22"/>
              </w:rPr>
              <w:t xml:space="preserve">+135%</w:t>
            </w:r>
          </w:p>
        </w:tc>
      </w:tr>
      <w:tr>
        <w:tc>
          <w:tcPr>
            <w:tcW w:type="dxa" w:w="27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Slowest Single Request (ms)</w:t>
            </w:r>
          </w:p>
        </w:tc>
        <w:tc>
          <w:tcPr>
            <w:tcW w:type="dxa" w:w="165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1,693</w:t>
            </w:r>
          </w:p>
        </w:tc>
        <w:tc>
          <w:tcPr>
            <w:tcW w:type="dxa" w:w="165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1,734</w:t>
            </w:r>
          </w:p>
        </w:tc>
        <w:tc>
          <w:tcPr>
            <w:tcW w:type="dxa" w:w="165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2,810</w:t>
            </w:r>
          </w:p>
        </w:tc>
        <w:tc>
          <w:tcPr>
            <w:tcW w:type="dxa" w:w="165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C00000"/>
                <w:sz w:val="22"/>
                <w:szCs w:val="22"/>
              </w:rPr>
              <w:t xml:space="preserve">+66%</w:t>
            </w:r>
          </w:p>
        </w:tc>
      </w:tr>
      <w:tr>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onContentLoad Time</w:t>
            </w:r>
          </w:p>
        </w:tc>
        <w:tc>
          <w:tcPr>
            <w:tcW w:type="dxa" w:w="165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NULL</w:t>
            </w:r>
          </w:p>
        </w:tc>
        <w:tc>
          <w:tcPr>
            <w:tcW w:type="dxa" w:w="165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NULL</w:t>
            </w:r>
          </w:p>
        </w:tc>
        <w:tc>
          <w:tcPr>
            <w:tcW w:type="dxa" w:w="165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NULL</w:t>
            </w:r>
          </w:p>
        </w:tc>
        <w:tc>
          <w:tcPr>
            <w:tcW w:type="dxa" w:w="165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C00000"/>
                <w:sz w:val="22"/>
                <w:szCs w:val="22"/>
              </w:rPr>
              <w:t xml:space="preserve">Never loaded</w:t>
            </w:r>
          </w:p>
        </w:tc>
      </w:tr>
    </w:tbl>
    <w:p>
      <w:pPr>
        <w:spacing w:before="80" w:after="160"/>
        <w:jc w:val="both"/>
      </w:pPr>
      <w:r>
        <w:rPr>
          <w:rFonts w:ascii="Times New Roman" w:cs="Times New Roman" w:eastAsia="Times New Roman" w:hAnsi="Times New Roman"/>
          <w:i/>
          <w:iCs/>
          <w:color w:val="444444"/>
          <w:sz w:val="20"/>
          <w:szCs w:val="20"/>
        </w:rPr>
        <w:t xml:space="preserve">Note: Runs conducted at 30-minute intervals during active mobilization window. Progressive degradation across runs confirms server instability under sustained load rather than random variance.</w:t>
      </w:r>
    </w:p>
    <w:p>
      <w:pPr>
        <w:spacing w:before="0" w:after="160"/>
      </w:pPr>
      <w:r>
        <w:t xml:space="preserve"/>
      </w:r>
    </w:p>
    <w:p>
      <w:pPr>
        <w:pStyle w:val="Heading3"/>
        <w:spacing w:before="240" w:after="120"/>
      </w:pPr>
      <w:r>
        <w:rPr>
          <w:rFonts w:ascii="Times New Roman" w:cs="Times New Roman" w:eastAsia="Times New Roman" w:hAnsi="Times New Roman"/>
          <w:b/>
          <w:bCs/>
          <w:i/>
          <w:iCs/>
          <w:sz w:val="24"/>
          <w:szCs w:val="24"/>
        </w:rPr>
        <w:t xml:space="preserve">3.2.3 Code Quality and Core Web Vitals (Lighthouse / PageSpeed Insights)</w:t>
      </w:r>
    </w:p>
    <w:p>
      <w:pPr>
        <w:spacing w:before="0" w:after="160" w:line="276"/>
        <w:jc w:val="both"/>
      </w:pPr>
      <w:r>
        <w:rPr>
          <w:rFonts w:ascii="Times New Roman" w:cs="Times New Roman" w:eastAsia="Times New Roman" w:hAnsi="Times New Roman"/>
          <w:sz w:val="24"/>
          <w:szCs w:val="24"/>
        </w:rPr>
        <w:t xml:space="preserve">A Google Lighthouse audit and PageSpeed Insights analysis were performed to evaluate the portal’s frontend code quality, accessibility compliance, and Core Web Vitals performance against internationally accepted benchmarks. The Chrome DevTools Lighthouse tool was executed first, followed by an independent assessment via Google’s PageSpeed Insights platform, which operates from Google’s own server infrastructure and therefore provides a geographically independent measurement.</w:t>
      </w:r>
    </w:p>
    <w:p>
      <w:pPr>
        <w:spacing w:before="0" w:after="160"/>
      </w:pPr>
      <w:r>
        <w:t xml:space="preserve"/>
      </w:r>
    </w:p>
    <w:p>
      <w:pPr>
        <w:spacing w:before="0" w:after="160" w:line="276"/>
        <w:jc w:val="both"/>
      </w:pPr>
      <w:r>
        <w:rPr>
          <w:rFonts w:ascii="Times New Roman" w:cs="Times New Roman" w:eastAsia="Times New Roman" w:hAnsi="Times New Roman"/>
          <w:b/>
          <w:bCs/>
          <w:sz w:val="24"/>
          <w:szCs w:val="24"/>
        </w:rPr>
        <w:t xml:space="preserve">Data Source: </w:t>
      </w:r>
      <w:r>
        <w:rPr>
          <w:rFonts w:ascii="Times New Roman" w:cs="Times New Roman" w:eastAsia="Times New Roman" w:hAnsi="Times New Roman"/>
          <w:sz w:val="24"/>
          <w:szCs w:val="24"/>
        </w:rPr>
        <w:t xml:space="preserve">Lighthouse Performance Scorecard and PageSpeed Insights Report (See Table 3.4).</w:t>
      </w:r>
    </w:p>
    <w:p>
      <w:pPr>
        <w:spacing w:before="0" w:after="160"/>
      </w:pPr>
      <w:r>
        <w:t xml:space="preserve"/>
      </w:r>
    </w:p>
    <w:p>
      <w:pPr>
        <w:spacing w:before="0" w:after="160" w:line="276"/>
        <w:jc w:val="both"/>
      </w:pPr>
      <w:r>
        <w:rPr>
          <w:rFonts w:ascii="Times New Roman" w:cs="Times New Roman" w:eastAsia="Times New Roman" w:hAnsi="Times New Roman"/>
          <w:b/>
          <w:bCs/>
          <w:sz w:val="24"/>
          <w:szCs w:val="24"/>
        </w:rPr>
        <w:t xml:space="preserve">Finding 1 — SSL Certificate Failure:</w:t>
      </w:r>
      <w:r>
        <w:rPr>
          <w:rFonts w:ascii="Times New Roman" w:cs="Times New Roman" w:eastAsia="Times New Roman" w:hAnsi="Times New Roman"/>
          <w:sz w:val="24"/>
          <w:szCs w:val="24"/>
        </w:rPr>
        <w:t xml:space="preserve">  The Chrome DevTools Lighthouse audit was unable to complete in both execution attempts. The first attempt terminated with ERR_CERT_AUTHORITY_INVALID, redirecting to chrome-error://chromewebdata/, indicating that the Lighthouse engine rejected the portal’s SSL certificate as invalid. The second attempt ran for nineteen minutes without completing, consistent with the zombie loading behaviour observed in the HAR analysis. A government portal processing the registration of approximately 350,000 corps members per mobilization cycle was found to have an invalid SSL certificate during an active registration window.</w:t>
      </w:r>
    </w:p>
    <w:p>
      <w:pPr>
        <w:spacing w:before="0" w:after="160"/>
      </w:pPr>
      <w:r>
        <w:t xml:space="preserve"/>
      </w:r>
    </w:p>
    <w:p>
      <w:pPr>
        <w:spacing w:before="0" w:after="160" w:line="276"/>
        <w:jc w:val="both"/>
      </w:pPr>
      <w:r>
        <w:rPr>
          <w:rFonts w:ascii="Times New Roman" w:cs="Times New Roman" w:eastAsia="Times New Roman" w:hAnsi="Times New Roman"/>
          <w:b/>
          <w:bCs/>
          <w:sz w:val="24"/>
          <w:szCs w:val="24"/>
        </w:rPr>
        <w:t xml:space="preserve">Finding 2 — Desktop Performance Score 37/100 (Poor):</w:t>
      </w:r>
      <w:r>
        <w:rPr>
          <w:rFonts w:ascii="Times New Roman" w:cs="Times New Roman" w:eastAsia="Times New Roman" w:hAnsi="Times New Roman"/>
          <w:sz w:val="24"/>
          <w:szCs w:val="24"/>
        </w:rPr>
        <w:t xml:space="preserve">  The PageSpeed Insights desktop audit returned a Performance score of 37 out of 100, placing the portal in Google’s lowest performance tier. All Core Web Vital metrics on desktop returned mainDocumentRequest errors, indicating the page structure was too broken for Lighthouse to complete a standard performance measurement. The desktop version additionally lacked an HTML doctype declaration, causing modern browsers to render the page in quirks mode — a compatibility mode designed for websites built prior to the year 2000. This finding is particularly significant given that the majority of NYSC registration occurs at cybercafe terminals running desktop browsers.</w:t>
      </w:r>
    </w:p>
    <w:p>
      <w:pPr>
        <w:spacing w:before="0" w:after="160"/>
      </w:pPr>
      <w:r>
        <w:t xml:space="preserve"/>
      </w:r>
    </w:p>
    <w:p>
      <w:pPr>
        <w:spacing w:before="0" w:after="160" w:line="276"/>
        <w:jc w:val="both"/>
      </w:pPr>
      <w:r>
        <w:rPr>
          <w:rFonts w:ascii="Times New Roman" w:cs="Times New Roman" w:eastAsia="Times New Roman" w:hAnsi="Times New Roman"/>
          <w:b/>
          <w:bCs/>
          <w:sz w:val="24"/>
          <w:szCs w:val="24"/>
        </w:rPr>
        <w:t xml:space="preserve">Finding 3 — Core Web Vitals Failed (Mobile):</w:t>
      </w:r>
      <w:r>
        <w:rPr>
          <w:rFonts w:ascii="Times New Roman" w:cs="Times New Roman" w:eastAsia="Times New Roman" w:hAnsi="Times New Roman"/>
          <w:sz w:val="24"/>
          <w:szCs w:val="24"/>
        </w:rPr>
        <w:t xml:space="preserve">  The mobile PageSpeed Insights report returned a Performance score of 100, which appears contradictory. However, this score reflects the server’s delivery speed for the raw HTML payload (13,747 bytes), not the usability of the rendered page. The Core Web Vitals Assessment independently returned a verdict of Failed. The decisive failure metric was Interaction to Next Paint (INP) at 294ms, which exceeds Google’s acceptable threshold of 200ms. INP measures the delay between a user action — such as tapping a form field or clicking a submit button — and the page’s visible response. An INP of 294ms means every form interaction during NYSC registration is delayed by nearly a third of a second, directly impairing the registration experience for mobile users.</w:t>
      </w:r>
    </w:p>
    <w:p>
      <w:pPr>
        <w:spacing w:before="0" w:after="160"/>
      </w:pPr>
      <w:r>
        <w:t xml:space="preserve"/>
      </w:r>
    </w:p>
    <w:p>
      <w:pPr>
        <w:spacing w:before="0" w:after="160" w:line="276"/>
        <w:jc w:val="both"/>
      </w:pPr>
      <w:r>
        <w:rPr>
          <w:rFonts w:ascii="Times New Roman" w:cs="Times New Roman" w:eastAsia="Times New Roman" w:hAnsi="Times New Roman"/>
          <w:b/>
          <w:bCs/>
          <w:sz w:val="24"/>
          <w:szCs w:val="24"/>
        </w:rPr>
        <w:t xml:space="preserve">Finding 4 — Critical Mobile-Desktop Discrepancy:</w:t>
      </w:r>
      <w:r>
        <w:rPr>
          <w:rFonts w:ascii="Times New Roman" w:cs="Times New Roman" w:eastAsia="Times New Roman" w:hAnsi="Times New Roman"/>
          <w:sz w:val="24"/>
          <w:szCs w:val="24"/>
        </w:rPr>
        <w:t xml:space="preserve">  A stark divergence in behaviour between mobile and desktop audits was observed. The mobile version returned a passing HTTPS status, while the desktop version flagged insecure HTTP content. The mobile accessibility score was 73/100; the desktop accessibility score was 37/100. The desktop version lacked a page title element entirely, was blocked from search engine indexing, and had an invalid robots.txt file. This asymmetry suggests that the server delivers materially different code to mobile and desktop user agents, with the desktop version being significantly more degraded — a serious architectural inconsistency for a portal where desktop usage dominates.</w:t>
      </w:r>
    </w:p>
    <w:p>
      <w:pPr>
        <w:spacing w:before="0" w:after="160"/>
      </w:pPr>
      <w:r>
        <w:t xml:space="preserve"/>
      </w:r>
    </w:p>
    <w:p>
      <w:pPr>
        <w:spacing w:before="80" w:after="200"/>
        <w:jc w:val="center"/>
      </w:pPr>
      <w:r>
        <w:rPr>
          <w:rFonts w:ascii="Times New Roman" w:cs="Times New Roman" w:eastAsia="Times New Roman" w:hAnsi="Times New Roman"/>
          <w:b/>
          <w:bCs/>
          <w:sz w:val="22"/>
          <w:szCs w:val="22"/>
        </w:rPr>
        <w:t xml:space="preserve">Table 3.4: Lighthouse and PageSpeed Insights Audit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80"/>
        <w:gridCol w:w="2180"/>
        <w:gridCol w:w="2000"/>
      </w:tblGrid>
      <w:tr>
        <w:trPr>
          <w:tblHeader/>
        </w:trP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Audit Category</w:t>
            </w:r>
          </w:p>
        </w:tc>
        <w:tc>
          <w:tcPr>
            <w:tcW w:type="dxa" w:w="21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Mobile Score</w:t>
            </w:r>
          </w:p>
        </w:tc>
        <w:tc>
          <w:tcPr>
            <w:tcW w:type="dxa" w:w="21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Desktop Score</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Rating</w:t>
            </w:r>
          </w:p>
        </w:tc>
      </w:tr>
      <w:tr>
        <w:tc>
          <w:tcPr>
            <w:tcW w:type="dxa" w:w="3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Performance</w:t>
            </w:r>
          </w:p>
        </w:tc>
        <w:tc>
          <w:tcPr>
            <w:tcW w:type="dxa" w:w="218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Times New Roman" w:cs="Times New Roman" w:eastAsia="Times New Roman" w:hAnsi="Times New Roman"/>
                <w:b/>
                <w:bCs/>
                <w:color w:val="7F6000"/>
                <w:sz w:val="22"/>
                <w:szCs w:val="22"/>
              </w:rPr>
              <w:t xml:space="preserve">100* (misleading)</w:t>
            </w:r>
          </w:p>
        </w:tc>
        <w:tc>
          <w:tcPr>
            <w:tcW w:type="dxa" w:w="218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center"/>
            </w:pPr>
            <w:r>
              <w:rPr>
                <w:rFonts w:ascii="Times New Roman" w:cs="Times New Roman" w:eastAsia="Times New Roman" w:hAnsi="Times New Roman"/>
                <w:b/>
                <w:bCs/>
                <w:color w:val="C00000"/>
                <w:sz w:val="22"/>
                <w:szCs w:val="22"/>
              </w:rPr>
              <w:t xml:space="preserve">37 / 100</w:t>
            </w:r>
          </w:p>
        </w:tc>
        <w:tc>
          <w:tcPr>
            <w:tcW w:type="dxa" w:w="2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C00000"/>
                <w:sz w:val="22"/>
                <w:szCs w:val="22"/>
              </w:rPr>
              <w:t xml:space="preserve">Desktop: POOR</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Accessibility</w:t>
            </w:r>
          </w:p>
        </w:tc>
        <w:tc>
          <w:tcPr>
            <w:tcW w:type="dxa" w:w="218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7F6000"/>
                <w:sz w:val="22"/>
                <w:szCs w:val="22"/>
              </w:rPr>
              <w:t xml:space="preserve">73 / 100</w:t>
            </w:r>
          </w:p>
        </w:tc>
        <w:tc>
          <w:tcPr>
            <w:tcW w:type="dxa" w:w="218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center"/>
            </w:pPr>
            <w:r>
              <w:rPr>
                <w:rFonts w:ascii="Times New Roman" w:cs="Times New Roman" w:eastAsia="Times New Roman" w:hAnsi="Times New Roman"/>
                <w:b/>
                <w:bCs/>
                <w:color w:val="C00000"/>
                <w:sz w:val="22"/>
                <w:szCs w:val="22"/>
              </w:rPr>
              <w:t xml:space="preserve">37 / 100</w:t>
            </w:r>
          </w:p>
        </w:tc>
        <w:tc>
          <w:tcPr>
            <w:tcW w:type="dxa" w:w="20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7F6000"/>
                <w:sz w:val="22"/>
                <w:szCs w:val="22"/>
              </w:rPr>
              <w:t xml:space="preserve">NEEDS WORK</w:t>
            </w:r>
          </w:p>
        </w:tc>
      </w:tr>
      <w:tr>
        <w:tc>
          <w:tcPr>
            <w:tcW w:type="dxa" w:w="3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Best Practices</w:t>
            </w:r>
          </w:p>
        </w:tc>
        <w:tc>
          <w:tcPr>
            <w:tcW w:type="dxa" w:w="21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375623"/>
                <w:sz w:val="22"/>
                <w:szCs w:val="22"/>
              </w:rPr>
              <w:t xml:space="preserve">96 / 100</w:t>
            </w:r>
          </w:p>
        </w:tc>
        <w:tc>
          <w:tcPr>
            <w:tcW w:type="dxa" w:w="218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Not scored</w:t>
            </w:r>
          </w:p>
        </w:tc>
        <w:tc>
          <w:tcPr>
            <w:tcW w:type="dxa" w:w="2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Mobile only</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SEO</w:t>
            </w:r>
          </w:p>
        </w:tc>
        <w:tc>
          <w:tcPr>
            <w:tcW w:type="dxa" w:w="2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80 / 100</w:t>
            </w:r>
          </w:p>
        </w:tc>
        <w:tc>
          <w:tcPr>
            <w:tcW w:type="dxa" w:w="218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center"/>
            </w:pPr>
            <w:r>
              <w:rPr>
                <w:rFonts w:ascii="Times New Roman" w:cs="Times New Roman" w:eastAsia="Times New Roman" w:hAnsi="Times New Roman"/>
                <w:b/>
                <w:bCs/>
                <w:color w:val="C00000"/>
                <w:sz w:val="22"/>
                <w:szCs w:val="22"/>
              </w:rPr>
              <w:t xml:space="preserve">Failing</w:t>
            </w:r>
          </w:p>
        </w:tc>
        <w:tc>
          <w:tcPr>
            <w:tcW w:type="dxa" w:w="2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C00000"/>
                <w:sz w:val="22"/>
                <w:szCs w:val="22"/>
              </w:rPr>
              <w:t xml:space="preserve">Desktop blocked</w:t>
            </w:r>
          </w:p>
        </w:tc>
      </w:tr>
      <w:tr>
        <w:tc>
          <w:tcPr>
            <w:tcW w:type="dxa" w:w="30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Core Web Vitals Assessment</w:t>
            </w:r>
          </w:p>
        </w:tc>
        <w:tc>
          <w:tcPr>
            <w:tcW w:type="dxa" w:w="218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center"/>
            </w:pPr>
            <w:r>
              <w:rPr>
                <w:rFonts w:ascii="Times New Roman" w:cs="Times New Roman" w:eastAsia="Times New Roman" w:hAnsi="Times New Roman"/>
                <w:b/>
                <w:bCs/>
                <w:color w:val="C00000"/>
                <w:sz w:val="22"/>
                <w:szCs w:val="22"/>
              </w:rPr>
              <w:t xml:space="preserve">FAILED</w:t>
            </w:r>
          </w:p>
        </w:tc>
        <w:tc>
          <w:tcPr>
            <w:tcW w:type="dxa" w:w="218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N/A (errors)</w:t>
            </w:r>
          </w:p>
        </w:tc>
        <w:tc>
          <w:tcPr>
            <w:tcW w:type="dxa" w:w="2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center"/>
            </w:pPr>
            <w:r>
              <w:rPr>
                <w:rFonts w:ascii="Times New Roman" w:cs="Times New Roman" w:eastAsia="Times New Roman" w:hAnsi="Times New Roman"/>
                <w:b/>
                <w:bCs/>
                <w:color w:val="C00000"/>
                <w:sz w:val="22"/>
                <w:szCs w:val="22"/>
              </w:rPr>
              <w:t xml:space="preserve">Overall: FAILED</w:t>
            </w:r>
          </w:p>
        </w:tc>
      </w:tr>
    </w:tbl>
    <w:p>
      <w:pPr>
        <w:spacing w:before="80" w:after="160"/>
        <w:jc w:val="both"/>
      </w:pPr>
      <w:r>
        <w:rPr>
          <w:rFonts w:ascii="Times New Roman" w:cs="Times New Roman" w:eastAsia="Times New Roman" w:hAnsi="Times New Roman"/>
          <w:i/>
          <w:iCs/>
          <w:color w:val="444444"/>
          <w:sz w:val="20"/>
          <w:szCs w:val="20"/>
        </w:rPr>
        <w:t xml:space="preserve">Note: *Mobile Performance score of 100 reflects HTML payload delivery speed only and is contradicted by the independent Core Web Vitals Failed assessment. Desktop scores reflect PageSpeed Insights results; Chrome DevTools Lighthouse timed out at 19 minutes on both attempts.</w:t>
      </w:r>
    </w:p>
    <w:p>
      <w:pPr>
        <w:spacing w:before="0" w:after="160"/>
      </w:pPr>
      <w:r>
        <w:t xml:space="preserve"/>
      </w:r>
    </w:p>
    <w:p>
      <w:pPr>
        <w:pStyle w:val="Heading3"/>
        <w:spacing w:before="240" w:after="120"/>
      </w:pPr>
      <w:r>
        <w:rPr>
          <w:rFonts w:ascii="Times New Roman" w:cs="Times New Roman" w:eastAsia="Times New Roman" w:hAnsi="Times New Roman"/>
          <w:b/>
          <w:bCs/>
          <w:i/>
          <w:iCs/>
          <w:sz w:val="24"/>
          <w:szCs w:val="24"/>
        </w:rPr>
        <w:t xml:space="preserve">3.2.4 Security Header and Technology Stack Analysis</w:t>
      </w:r>
    </w:p>
    <w:p>
      <w:pPr>
        <w:spacing w:before="0" w:after="160" w:line="276"/>
        <w:jc w:val="both"/>
      </w:pPr>
      <w:r>
        <w:rPr>
          <w:rFonts w:ascii="Times New Roman" w:cs="Times New Roman" w:eastAsia="Times New Roman" w:hAnsi="Times New Roman"/>
          <w:sz w:val="24"/>
          <w:szCs w:val="24"/>
        </w:rPr>
        <w:t xml:space="preserve">A comprehensive HTTP response header audit was performed using two independent methods: Chrome DevTools Network tab (capturing raw response headers) and the securityheaders.com analysis platform, which evaluates headers against current web security standards. The convergence of findings across both methods provides cross-validated evidence for all security assertions made in this chapter.</w:t>
      </w:r>
    </w:p>
    <w:p>
      <w:pPr>
        <w:spacing w:before="0" w:after="160"/>
      </w:pPr>
      <w:r>
        <w:t xml:space="preserve"/>
      </w:r>
    </w:p>
    <w:p>
      <w:pPr>
        <w:spacing w:before="0" w:after="160" w:line="276"/>
        <w:jc w:val="both"/>
      </w:pPr>
      <w:r>
        <w:rPr>
          <w:rFonts w:ascii="Times New Roman" w:cs="Times New Roman" w:eastAsia="Times New Roman" w:hAnsi="Times New Roman"/>
          <w:b/>
          <w:bCs/>
          <w:sz w:val="24"/>
          <w:szCs w:val="24"/>
        </w:rPr>
        <w:t xml:space="preserve">Data Source: </w:t>
      </w:r>
      <w:r>
        <w:rPr>
          <w:rFonts w:ascii="Times New Roman" w:cs="Times New Roman" w:eastAsia="Times New Roman" w:hAnsi="Times New Roman"/>
          <w:sz w:val="24"/>
          <w:szCs w:val="24"/>
        </w:rPr>
        <w:t xml:space="preserve">Raw HTTP Response Headers and securityheaders.com Security Report (See Table 3.3).</w:t>
      </w:r>
    </w:p>
    <w:p>
      <w:pPr>
        <w:spacing w:before="0" w:after="160"/>
      </w:pPr>
      <w:r>
        <w:t xml:space="preserve"/>
      </w:r>
    </w:p>
    <w:p>
      <w:pPr>
        <w:spacing w:before="0" w:after="160" w:line="276"/>
        <w:jc w:val="both"/>
      </w:pPr>
      <w:r>
        <w:rPr>
          <w:rFonts w:ascii="Times New Roman" w:cs="Times New Roman" w:eastAsia="Times New Roman" w:hAnsi="Times New Roman"/>
          <w:b/>
          <w:bCs/>
          <w:sz w:val="24"/>
          <w:szCs w:val="24"/>
        </w:rPr>
        <w:t xml:space="preserve">Technology Stack:</w:t>
      </w:r>
      <w:r>
        <w:rPr>
          <w:rFonts w:ascii="Times New Roman" w:cs="Times New Roman" w:eastAsia="Times New Roman" w:hAnsi="Times New Roman"/>
          <w:sz w:val="24"/>
          <w:szCs w:val="24"/>
        </w:rPr>
        <w:t xml:space="preserve">  The portal operates on Microsoft IIS with an ASP.NET WebForms framework, developed and maintained by SIDMACH Technologies. The presence of Cloudflare as a CDN layer was confirmed through characteristic header-stripping behaviour — both the Server and X-Powered-By headers are absent from responses, which is a standard Cloudflare security feature. However, as demonstrated by the persistent high latency and blocking times in Section 3.2.2, the CDN layer is functioning purely as a proxy and is not offloading origin server requests effectively.</w:t>
      </w:r>
    </w:p>
    <w:p>
      <w:pPr>
        <w:spacing w:before="0" w:after="160"/>
      </w:pPr>
      <w:r>
        <w:t xml:space="preserve"/>
      </w:r>
    </w:p>
    <w:p>
      <w:pPr>
        <w:spacing w:before="0" w:after="160" w:line="276"/>
        <w:jc w:val="both"/>
      </w:pPr>
      <w:r>
        <w:rPr>
          <w:rFonts w:ascii="Times New Roman" w:cs="Times New Roman" w:eastAsia="Times New Roman" w:hAnsi="Times New Roman"/>
          <w:b/>
          <w:bCs/>
          <w:sz w:val="24"/>
          <w:szCs w:val="24"/>
        </w:rPr>
        <w:t xml:space="preserve">Security Grade:</w:t>
      </w:r>
      <w:r>
        <w:rPr>
          <w:rFonts w:ascii="Times New Roman" w:cs="Times New Roman" w:eastAsia="Times New Roman" w:hAnsi="Times New Roman"/>
          <w:sz w:val="24"/>
          <w:szCs w:val="24"/>
        </w:rPr>
        <w:t xml:space="preserve">  The portal received an overall security grade of C from securityheaders.com, the third-lowest possible rating. Five high-severity security headers are absent from all responses, including Strict-Transport-Security (HSTS) and Content-Security-Policy (CSP). The absence of CSP is the confirmed technical cause of the Mixed Content blocking documented in Section 3.2.2: without a CSP directive, the browser falls back to its own Mixed Content rules, which block HTTP assets on HTTPS pages. The no-cache, no-store cache control policy documented in the raw headers means the server must generate a fresh response for every user on every page load, eliminating any possibility of reducing origin server load through caching — a critical architectural weakness during peak mobilization traffic.</w:t>
      </w:r>
    </w:p>
    <w:p>
      <w:pPr>
        <w:spacing w:before="0" w:after="160"/>
      </w:pPr>
      <w:r>
        <w:t xml:space="preserve"/>
      </w:r>
    </w:p>
    <w:p>
      <w:pPr>
        <w:spacing w:before="80" w:after="200"/>
        <w:jc w:val="center"/>
      </w:pPr>
      <w:r>
        <w:rPr>
          <w:rFonts w:ascii="Times New Roman" w:cs="Times New Roman" w:eastAsia="Times New Roman" w:hAnsi="Times New Roman"/>
          <w:b/>
          <w:bCs/>
          <w:sz w:val="22"/>
          <w:szCs w:val="22"/>
        </w:rPr>
        <w:t xml:space="preserve">Table 3.3: HTTP Security Header Audit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Security Header</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Status</w:t>
            </w:r>
          </w:p>
        </w:tc>
        <w:tc>
          <w:tcPr>
            <w:tcW w:type="dxa" w:w="4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Security Implication</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Strict-Transport-Security (HSTS)</w:t>
            </w:r>
          </w:p>
        </w:tc>
        <w:tc>
          <w:tcPr>
            <w:tcW w:type="dxa" w:w="18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center"/>
            </w:pPr>
            <w:r>
              <w:rPr>
                <w:rFonts w:ascii="Times New Roman" w:cs="Times New Roman" w:eastAsia="Times New Roman" w:hAnsi="Times New Roman"/>
                <w:b/>
                <w:bCs/>
                <w:color w:val="C00000"/>
                <w:sz w:val="22"/>
                <w:szCs w:val="22"/>
              </w:rPr>
              <w:t xml:space="preserve">MISSING</w:t>
            </w:r>
          </w:p>
        </w:tc>
        <w:tc>
          <w:tcPr>
            <w:tcW w:type="dxa" w:w="47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Users vulnerable to HTTPS downgrade attacks. Credentials transmissible over plain HTTP.</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Content-Security-Policy (CSP)</w:t>
            </w:r>
          </w:p>
        </w:tc>
        <w:tc>
          <w:tcPr>
            <w:tcW w:type="dxa" w:w="18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center"/>
            </w:pPr>
            <w:r>
              <w:rPr>
                <w:rFonts w:ascii="Times New Roman" w:cs="Times New Roman" w:eastAsia="Times New Roman" w:hAnsi="Times New Roman"/>
                <w:b/>
                <w:bCs/>
                <w:color w:val="C00000"/>
                <w:sz w:val="22"/>
                <w:szCs w:val="22"/>
              </w:rPr>
              <w:t xml:space="preserve">MISSING</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No XSS attack protection. Direct cause of jquery.min.js and leaflet.js script blocking.</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Referrer-Policy</w:t>
            </w:r>
          </w:p>
        </w:tc>
        <w:tc>
          <w:tcPr>
            <w:tcW w:type="dxa" w:w="18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center"/>
            </w:pPr>
            <w:r>
              <w:rPr>
                <w:rFonts w:ascii="Times New Roman" w:cs="Times New Roman" w:eastAsia="Times New Roman" w:hAnsi="Times New Roman"/>
                <w:b/>
                <w:bCs/>
                <w:color w:val="C00000"/>
                <w:sz w:val="22"/>
                <w:szCs w:val="22"/>
              </w:rPr>
              <w:t xml:space="preserve">MISSING</w:t>
            </w:r>
          </w:p>
        </w:tc>
        <w:tc>
          <w:tcPr>
            <w:tcW w:type="dxa" w:w="47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Navigation data leaked to third-party domains on every page transition.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Cross-Origin-Opener-Policy (COOP)</w:t>
            </w:r>
          </w:p>
        </w:tc>
        <w:tc>
          <w:tcPr>
            <w:tcW w:type="dxa" w:w="18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center"/>
            </w:pPr>
            <w:r>
              <w:rPr>
                <w:rFonts w:ascii="Times New Roman" w:cs="Times New Roman" w:eastAsia="Times New Roman" w:hAnsi="Times New Roman"/>
                <w:b/>
                <w:bCs/>
                <w:color w:val="C00000"/>
                <w:sz w:val="22"/>
                <w:szCs w:val="22"/>
              </w:rPr>
              <w:t xml:space="preserve">MISSING</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No origin isolation. Cross-origin attacks via pop-ups are unmitigated.</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Cross-Origin-Resource-Policy (CORP)</w:t>
            </w:r>
          </w:p>
        </w:tc>
        <w:tc>
          <w:tcPr>
            <w:tcW w:type="dxa" w:w="18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center"/>
            </w:pPr>
            <w:r>
              <w:rPr>
                <w:rFonts w:ascii="Times New Roman" w:cs="Times New Roman" w:eastAsia="Times New Roman" w:hAnsi="Times New Roman"/>
                <w:b/>
                <w:bCs/>
                <w:color w:val="C00000"/>
                <w:sz w:val="22"/>
                <w:szCs w:val="22"/>
              </w:rPr>
              <w:t xml:space="preserve">MISSING</w:t>
            </w:r>
          </w:p>
        </w:tc>
        <w:tc>
          <w:tcPr>
            <w:tcW w:type="dxa" w:w="47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Resources can be embedded by unauthorized third-party origins.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X-Frame-Options</w:t>
            </w:r>
          </w:p>
        </w:tc>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22"/>
                <w:szCs w:val="22"/>
              </w:rPr>
              <w:t xml:space="preserve">PRESENT</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Basic clickjacking protection active. Set to SAMEORIGIN.</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X-Content-Type-Options</w:t>
            </w:r>
          </w:p>
        </w:tc>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22"/>
                <w:szCs w:val="22"/>
              </w:rPr>
              <w:t xml:space="preserve">PRESENT</w:t>
            </w:r>
          </w:p>
        </w:tc>
        <w:tc>
          <w:tcPr>
            <w:tcW w:type="dxa" w:w="47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MIME-type sniffing disabled. Set to nosniff.</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Cache-Control</w:t>
            </w:r>
          </w:p>
        </w:tc>
        <w:tc>
          <w:tcPr>
            <w:tcW w:type="dxa" w:w="18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Times New Roman" w:cs="Times New Roman" w:eastAsia="Times New Roman" w:hAnsi="Times New Roman"/>
                <w:b/>
                <w:bCs/>
                <w:color w:val="7F6000"/>
                <w:sz w:val="22"/>
                <w:szCs w:val="22"/>
              </w:rPr>
              <w:t xml:space="preserve">PRESENT</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Set to no-cache, no-store, must-revalidate. Forces full server reload for every user on every visit — directly contributes to server overload during peak mobilization.</w:t>
            </w:r>
          </w:p>
        </w:tc>
      </w:tr>
    </w:tbl>
    <w:p>
      <w:pPr>
        <w:spacing w:before="80" w:after="160"/>
        <w:jc w:val="both"/>
      </w:pPr>
      <w:r>
        <w:rPr>
          <w:rFonts w:ascii="Times New Roman" w:cs="Times New Roman" w:eastAsia="Times New Roman" w:hAnsi="Times New Roman"/>
          <w:i/>
          <w:iCs/>
          <w:color w:val="444444"/>
          <w:sz w:val="20"/>
          <w:szCs w:val="20"/>
        </w:rPr>
        <w:t xml:space="preserve">Note: Audit conducted 16 March 2026 at 09:13 UTC via securityheaders.com and confirmed via Chrome DevTools raw header capture. All five missing headers were identified consistently by both methods.</w:t>
      </w:r>
    </w:p>
    <w:p>
      <w:pPr>
        <w:spacing w:before="0" w:after="160"/>
      </w:pPr>
      <w:r>
        <w:t xml:space="preserve"/>
      </w:r>
    </w:p>
    <w:p>
      <w:pPr>
        <w:pStyle w:val="Heading2"/>
        <w:spacing w:before="300" w:after="160"/>
      </w:pPr>
      <w:r>
        <w:rPr>
          <w:rFonts w:ascii="Times New Roman" w:cs="Times New Roman" w:eastAsia="Times New Roman" w:hAnsi="Times New Roman"/>
          <w:b/>
          <w:bCs/>
          <w:sz w:val="24"/>
          <w:szCs w:val="24"/>
        </w:rPr>
        <w:t xml:space="preserve">3.3 The Experimental Setup: The Digital Twin Simulation</w:t>
      </w:r>
    </w:p>
    <w:p>
      <w:pPr>
        <w:spacing w:before="0" w:after="160" w:line="276"/>
        <w:jc w:val="both"/>
      </w:pPr>
      <w:r>
        <w:rPr>
          <w:rFonts w:ascii="Times New Roman" w:cs="Times New Roman" w:eastAsia="Times New Roman" w:hAnsi="Times New Roman"/>
          <w:sz w:val="24"/>
          <w:szCs w:val="24"/>
        </w:rPr>
        <w:t xml:space="preserve">To prove the efficacy of the proposed cloud-native solution, two distinct server environments were provisioned in Amazon Web Services to facilitate a direct A/B architectural comparison. The simulation was conducted exclusively within this controlled environment; at no point was any stress-testing or load generation directed at the live NYSC government portal, in strict compliance with the Nigerian Cybercrime Act (2015).</w:t>
      </w:r>
    </w:p>
    <w:p>
      <w:pPr>
        <w:spacing w:before="0" w:after="160"/>
      </w:pPr>
      <w:r>
        <w:t xml:space="preserve"/>
      </w:r>
    </w:p>
    <w:p>
      <w:pPr>
        <w:spacing w:before="80" w:after="200"/>
        <w:jc w:val="center"/>
      </w:pPr>
      <w:r>
        <w:rPr>
          <w:rFonts w:ascii="Times New Roman" w:cs="Times New Roman" w:eastAsia="Times New Roman" w:hAnsi="Times New Roman"/>
          <w:b/>
          <w:bCs/>
          <w:sz w:val="22"/>
          <w:szCs w:val="22"/>
        </w:rPr>
        <w:t xml:space="preserve">Table 3.5: Configuration of Control vs. Experimental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Component</w:t>
            </w:r>
          </w:p>
        </w:tc>
        <w:tc>
          <w:tcPr>
            <w:tcW w:type="dxa" w:w="34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Phase A — Control (Current Architecture)</w:t>
            </w:r>
          </w:p>
        </w:tc>
        <w:tc>
          <w:tcPr>
            <w:tcW w:type="dxa" w:w="34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Phase B — Experimental (Proposed Cloud-Native)</w:t>
            </w:r>
          </w:p>
        </w:tc>
      </w:tr>
      <w:tr>
        <w:tc>
          <w:tcPr>
            <w:tcW w:type="dxa" w:w="24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Simulation Target</w:t>
            </w:r>
          </w:p>
        </w:tc>
        <w:tc>
          <w:tcPr>
            <w:tcW w:type="dxa" w:w="348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Galaxy Backbone / Current NYSC Setup</w:t>
            </w:r>
          </w:p>
        </w:tc>
        <w:tc>
          <w:tcPr>
            <w:tcW w:type="dxa" w:w="348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Proposed AWS Cloud-Native Setup</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Compute Architecture</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Monolithic (Single Fixed Server)</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Elastic Auto-Scaling Group</w:t>
            </w:r>
          </w:p>
        </w:tc>
      </w:tr>
      <w:tr>
        <w:tc>
          <w:tcPr>
            <w:tcW w:type="dxa" w:w="24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Instance Type</w:t>
            </w:r>
          </w:p>
        </w:tc>
        <w:tc>
          <w:tcPr>
            <w:tcW w:type="dxa" w:w="348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AWS EC2 t2.medium</w:t>
            </w:r>
          </w:p>
        </w:tc>
        <w:tc>
          <w:tcPr>
            <w:tcW w:type="dxa" w:w="348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AWS EC2 t2.micro x Scalable Units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Capacity Strategy</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Fixed: 2 vCPU, 4GB RAM</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Dynamic: Min 1, Max 5 servers</w:t>
            </w:r>
          </w:p>
        </w:tc>
      </w:tr>
      <w:tr>
        <w:tc>
          <w:tcPr>
            <w:tcW w:type="dxa" w:w="24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Traffic Management</w:t>
            </w:r>
          </w:p>
        </w:tc>
        <w:tc>
          <w:tcPr>
            <w:tcW w:type="dxa" w:w="348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Direct IP Access (No Load Balancing)</w:t>
            </w:r>
          </w:p>
        </w:tc>
        <w:tc>
          <w:tcPr>
            <w:tcW w:type="dxa" w:w="348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Application Load Balancer (ALB)</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Database Strategy</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Local MySQL (Tightly Coupled)</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Amazon RDS (Decoupled)</w:t>
            </w:r>
          </w:p>
        </w:tc>
      </w:tr>
    </w:tbl>
    <w:p>
      <w:pPr>
        <w:spacing w:before="80" w:after="160"/>
        <w:jc w:val="both"/>
      </w:pPr>
      <w:r>
        <w:rPr>
          <w:rFonts w:ascii="Times New Roman" w:cs="Times New Roman" w:eastAsia="Times New Roman" w:hAnsi="Times New Roman"/>
          <w:i/>
          <w:iCs/>
          <w:color w:val="444444"/>
          <w:sz w:val="20"/>
          <w:szCs w:val="20"/>
        </w:rPr>
        <w:t xml:space="preserve">Note: Phase A simulates the current Galaxy Backbone fixed-server architecture. Phase B simulates the proposed cloud-native architecture with elastic scaling. Both environments subjected to identical stress tests described in Section 3.4.</w:t>
      </w:r>
    </w:p>
    <w:p>
      <w:pPr>
        <w:spacing w:before="0" w:after="160"/>
      </w:pPr>
      <w:r>
        <w:t xml:space="preserve"/>
      </w:r>
    </w:p>
    <w:p>
      <w:pPr>
        <w:pStyle w:val="Heading2"/>
        <w:spacing w:before="300" w:after="160"/>
      </w:pPr>
      <w:r>
        <w:rPr>
          <w:rFonts w:ascii="Times New Roman" w:cs="Times New Roman" w:eastAsia="Times New Roman" w:hAnsi="Times New Roman"/>
          <w:b/>
          <w:bCs/>
          <w:sz w:val="24"/>
          <w:szCs w:val="24"/>
        </w:rPr>
        <w:t xml:space="preserve">3.4 Stress Testing Protocol</w:t>
      </w:r>
    </w:p>
    <w:p>
      <w:pPr>
        <w:spacing w:before="0" w:after="160" w:line="276"/>
        <w:jc w:val="both"/>
      </w:pPr>
      <w:r>
        <w:rPr>
          <w:rFonts w:ascii="Times New Roman" w:cs="Times New Roman" w:eastAsia="Times New Roman" w:hAnsi="Times New Roman"/>
          <w:sz w:val="24"/>
          <w:szCs w:val="24"/>
        </w:rPr>
        <w:t xml:space="preserve">Both environments were subjected to identical stress tests designed to simulate the Thundering Herd scenario — the concentrated surge of concurrent registrations that occurs when a mobilization batch opens. The following parameters governed the stress test:</w:t>
      </w:r>
    </w:p>
    <w:p>
      <w:pPr>
        <w:spacing w:before="0" w:after="160"/>
      </w:pPr>
      <w:r>
        <w:t xml:space="preserve"/>
      </w:r>
    </w:p>
    <w:p>
      <w:pPr>
        <w:pStyle w:val="ListParagraph"/>
        <w:numPr>
          <w:ilvl w:val="0"/>
          <w:numId w:val="2"/>
        </w:numPr>
        <w:spacing w:before="60" w:after="60"/>
      </w:pPr>
      <w:r>
        <w:rPr>
          <w:rFonts w:ascii="Times New Roman" w:cs="Times New Roman" w:eastAsia="Times New Roman" w:hAnsi="Times New Roman"/>
          <w:sz w:val="24"/>
          <w:szCs w:val="24"/>
        </w:rPr>
        <w:t xml:space="preserve">Tool: Apache Benchmark (ab)</w:t>
      </w:r>
    </w:p>
    <w:p>
      <w:pPr>
        <w:pStyle w:val="ListParagraph"/>
        <w:numPr>
          <w:ilvl w:val="0"/>
          <w:numId w:val="2"/>
        </w:numPr>
        <w:spacing w:before="60" w:after="60"/>
      </w:pPr>
      <w:r>
        <w:rPr>
          <w:rFonts w:ascii="Times New Roman" w:cs="Times New Roman" w:eastAsia="Times New Roman" w:hAnsi="Times New Roman"/>
          <w:sz w:val="24"/>
          <w:szCs w:val="24"/>
        </w:rPr>
        <w:t xml:space="preserve">Total Requests: 10,000</w:t>
      </w:r>
    </w:p>
    <w:p>
      <w:pPr>
        <w:pStyle w:val="ListParagraph"/>
        <w:numPr>
          <w:ilvl w:val="0"/>
          <w:numId w:val="2"/>
        </w:numPr>
        <w:spacing w:before="60" w:after="60"/>
      </w:pPr>
      <w:r>
        <w:rPr>
          <w:rFonts w:ascii="Times New Roman" w:cs="Times New Roman" w:eastAsia="Times New Roman" w:hAnsi="Times New Roman"/>
          <w:sz w:val="24"/>
          <w:szCs w:val="24"/>
        </w:rPr>
        <w:t xml:space="preserve">Concurrency Level: 100 simultaneous users (simulating a 60-second registration rush)</w:t>
      </w:r>
    </w:p>
    <w:p>
      <w:pPr>
        <w:pStyle w:val="ListParagraph"/>
        <w:numPr>
          <w:ilvl w:val="0"/>
          <w:numId w:val="2"/>
        </w:numPr>
        <w:spacing w:before="60" w:after="60"/>
      </w:pPr>
      <w:r>
        <w:rPr>
          <w:rFonts w:ascii="Times New Roman" w:cs="Times New Roman" w:eastAsia="Times New Roman" w:hAnsi="Times New Roman"/>
          <w:sz w:val="24"/>
          <w:szCs w:val="24"/>
        </w:rPr>
        <w:t xml:space="preserve">Test Duration: Continuous until all 10,000 requests resolved or the server failed</w:t>
      </w:r>
    </w:p>
    <w:p>
      <w:pPr>
        <w:spacing w:before="0" w:after="160"/>
      </w:pPr>
      <w:r>
        <w:t xml:space="preserve"/>
      </w:r>
    </w:p>
    <w:p>
      <w:pPr>
        <w:spacing w:before="0" w:after="160" w:line="276"/>
        <w:jc w:val="both"/>
      </w:pPr>
      <w:r>
        <w:rPr>
          <w:rFonts w:ascii="Times New Roman" w:cs="Times New Roman" w:eastAsia="Times New Roman" w:hAnsi="Times New Roman"/>
          <w:sz w:val="24"/>
          <w:szCs w:val="24"/>
        </w:rPr>
        <w:t xml:space="preserve">Three Key Performance Indicators (KPIs) were used to evaluate and compare the two environments:</w:t>
      </w:r>
    </w:p>
    <w:p>
      <w:pPr>
        <w:spacing w:before="0" w:after="160"/>
      </w:pPr>
      <w:r>
        <w:t xml:space="preserve"/>
      </w:r>
    </w:p>
    <w:p>
      <w:pPr>
        <w:pStyle w:val="ListParagraph"/>
        <w:numPr>
          <w:ilvl w:val="0"/>
          <w:numId w:val="3"/>
        </w:numPr>
        <w:spacing w:before="40" w:after="40"/>
      </w:pPr>
      <w:r>
        <w:rPr>
          <w:rFonts w:ascii="Times New Roman" w:cs="Times New Roman" w:eastAsia="Times New Roman" w:hAnsi="Times New Roman"/>
          <w:sz w:val="24"/>
          <w:szCs w:val="24"/>
        </w:rPr>
        <w:t xml:space="preserve">Failure Rate (%): The percentage of requests returning HTTP 500 or 503 error codes</w:t>
      </w:r>
    </w:p>
    <w:p>
      <w:pPr>
        <w:pStyle w:val="ListParagraph"/>
        <w:numPr>
          <w:ilvl w:val="0"/>
          <w:numId w:val="3"/>
        </w:numPr>
        <w:spacing w:before="40" w:after="40"/>
      </w:pPr>
      <w:r>
        <w:rPr>
          <w:rFonts w:ascii="Times New Roman" w:cs="Times New Roman" w:eastAsia="Times New Roman" w:hAnsi="Times New Roman"/>
          <w:sz w:val="24"/>
          <w:szCs w:val="24"/>
        </w:rPr>
        <w:t xml:space="preserve">Latency (ms): The mean time taken to serve a request under full concurrency load</w:t>
      </w:r>
    </w:p>
    <w:p>
      <w:pPr>
        <w:pStyle w:val="ListParagraph"/>
        <w:numPr>
          <w:ilvl w:val="0"/>
          <w:numId w:val="3"/>
        </w:numPr>
        <w:spacing w:before="40" w:after="40"/>
      </w:pPr>
      <w:r>
        <w:rPr>
          <w:rFonts w:ascii="Times New Roman" w:cs="Times New Roman" w:eastAsia="Times New Roman" w:hAnsi="Times New Roman"/>
          <w:sz w:val="24"/>
          <w:szCs w:val="24"/>
        </w:rPr>
        <w:t xml:space="preserve">Recovery Time: The elapsed time between traffic cessation and the return of normal server response times</w:t>
      </w:r>
    </w:p>
    <w:p>
      <w:pPr>
        <w:spacing w:before="0" w:after="160"/>
      </w:pPr>
      <w:r>
        <w:t xml:space="preserve"/>
      </w:r>
    </w:p>
    <w:p>
      <w:pPr>
        <w:pStyle w:val="Heading2"/>
        <w:spacing w:before="300" w:after="160"/>
      </w:pPr>
      <w:r>
        <w:rPr>
          <w:rFonts w:ascii="Times New Roman" w:cs="Times New Roman" w:eastAsia="Times New Roman" w:hAnsi="Times New Roman"/>
          <w:b/>
          <w:bCs/>
          <w:sz w:val="24"/>
          <w:szCs w:val="24"/>
        </w:rPr>
        <w:t xml:space="preserve">3.5 Ethical Considerations</w:t>
      </w:r>
    </w:p>
    <w:p>
      <w:pPr>
        <w:spacing w:before="0" w:after="160" w:line="276"/>
        <w:jc w:val="both"/>
      </w:pPr>
      <w:r>
        <w:rPr>
          <w:rFonts w:ascii="Times New Roman" w:cs="Times New Roman" w:eastAsia="Times New Roman" w:hAnsi="Times New Roman"/>
          <w:sz w:val="24"/>
          <w:szCs w:val="24"/>
        </w:rPr>
        <w:t xml:space="preserve">All data collection from the live NYSC portal was conducted passively and non-intrusively. The audit employed only publicly accessible network diagnostic tools (tracert, Chrome DevTools, PageSpeed Insights, securityheaders.com) against the publicly accessible portal URL. No authentication mechanisms were tested or bypassed, no registration forms were submitted, and no credentials were entered at any stage. The stress testing described in Section 3.4 was conducted exclusively on the researcher’s own provisioned AWS environment and was never directed at government infrastructure.</w:t>
      </w:r>
    </w:p>
    <w:p>
      <w:pPr>
        <w:spacing w:before="0" w:after="160"/>
      </w:pPr>
      <w:r>
        <w:t xml:space="preserve"/>
      </w:r>
    </w:p>
    <w:p>
      <w:pPr>
        <w:spacing w:before="0" w:after="160" w:line="276"/>
        <w:jc w:val="both"/>
      </w:pPr>
      <w:r>
        <w:rPr>
          <w:rFonts w:ascii="Times New Roman" w:cs="Times New Roman" w:eastAsia="Times New Roman" w:hAnsi="Times New Roman"/>
          <w:sz w:val="24"/>
          <w:szCs w:val="24"/>
        </w:rPr>
        <w:t xml:space="preserve">This methodology satisfies the ethical requirements of passive observational research and complies with Section 6 of the Nigerian Cybercrime (Prohibition, Prevention, Etc.) Act (2015), which prohibits unauthorised access to computer systems. The collection of publicly observable network performance data does not constitute unauthorised access under the Act.</w:t>
      </w:r>
    </w:p>
    <w:p>
      <w:pPr>
        <w:spacing w:before="0" w:after="160"/>
      </w:pPr>
      <w:r>
        <w:t xml:space="preserve"/>
      </w:r>
    </w:p>
    <w:p>
      <w:pPr>
        <w:pStyle w:val="Heading2"/>
        <w:spacing w:before="300" w:after="160"/>
      </w:pPr>
      <w:r>
        <w:rPr>
          <w:rFonts w:ascii="Times New Roman" w:cs="Times New Roman" w:eastAsia="Times New Roman" w:hAnsi="Times New Roman"/>
          <w:b/>
          <w:bCs/>
          <w:sz w:val="24"/>
          <w:szCs w:val="24"/>
        </w:rPr>
        <w:t xml:space="preserve">3.6 Summary of Findings</w:t>
      </w:r>
    </w:p>
    <w:p>
      <w:pPr>
        <w:spacing w:before="0" w:after="160" w:line="276"/>
        <w:jc w:val="both"/>
      </w:pPr>
      <w:r>
        <w:rPr>
          <w:rFonts w:ascii="Times New Roman" w:cs="Times New Roman" w:eastAsia="Times New Roman" w:hAnsi="Times New Roman"/>
          <w:sz w:val="24"/>
          <w:szCs w:val="24"/>
        </w:rPr>
        <w:t xml:space="preserve">The forensic audit documented in this chapter establishes, through four independent diagnostic methods, that the NYSC Mobilization Portal exhibits critical infrastructure failures across every measurable dimension during an active mobilization window. The convergence of evidence — progressive latency degradation in TraceRoute, zombie loading and Thread Pool Starvation in HAR analysis, a failed Core Web Vitals assessment and an invalid SSL certificate in Lighthouse, and five high-severity missing security headers — collectively demonstrates that the portal’s failure is systemic and architectural, not attributable to any single component or transient condition.</w:t>
      </w:r>
    </w:p>
    <w:p>
      <w:pPr>
        <w:spacing w:before="0" w:after="160"/>
      </w:pPr>
      <w:r>
        <w:t xml:space="preserve"/>
      </w:r>
    </w:p>
    <w:p>
      <w:pPr>
        <w:spacing w:before="0" w:after="160" w:line="276"/>
        <w:jc w:val="both"/>
      </w:pPr>
      <w:r>
        <w:rPr>
          <w:rFonts w:ascii="Times New Roman" w:cs="Times New Roman" w:eastAsia="Times New Roman" w:hAnsi="Times New Roman"/>
          <w:sz w:val="24"/>
          <w:szCs w:val="24"/>
        </w:rPr>
        <w:t xml:space="preserve">The data establishes the empirical baseline against which the Digital Twin simulation results in Chapter 4 will be compared. The central hypothesis of this study — that replacing the fixed monolithic server architecture with an elastic cloud-native architecture would eliminate the observed failure modes — is directly testable against the metrics documented herein.</w:t>
      </w:r>
    </w:p>
    <w:sectPr>
      <w:footerReference w:type="default" r:id="rId6"/>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jc w:val="center"/>
      <w:outlineLvl w:val="0"/>
    </w:pPr>
    <w:rPr>
      <w:rFonts w:ascii="Times New Roman" w:cs="Times New Roman" w:eastAsia="Times New Roman" w:hAnsi="Times New Roman"/>
      <w:b/>
      <w:bCs/>
      <w:caps/>
      <w:sz w:val="28"/>
      <w:szCs w:val="28"/>
    </w:rPr>
  </w:style>
  <w:style w:type="paragraph" w:styleId="Heading2">
    <w:name w:val="Heading 2"/>
    <w:basedOn w:val="Normal"/>
    <w:next w:val="Normal"/>
    <w:qFormat/>
    <w:pPr>
      <w:spacing w:before="300" w:after="16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2026-03-16T10:13:55.088Z</dcterms:created>
  <dcterms:modified xsi:type="dcterms:W3CDTF">2026-03-16T10:13:55.089Z</dcterms:modified>
</cp:coreProperties>
</file>

<file path=docProps/custom.xml><?xml version="1.0" encoding="utf-8"?>
<Properties xmlns="http://schemas.openxmlformats.org/officeDocument/2006/custom-properties" xmlns:vt="http://schemas.openxmlformats.org/officeDocument/2006/docPropsVTypes"/>
</file>