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Facial Attribute Analysis Report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Facial attribute analysis 06:47</w:t>
      </w:r>
    </w:p>
    <w:p>
      <w:r>
        <w:t>Total emotions detected during analysis: 1500</w:t>
      </w:r>
    </w:p>
    <w:p>
      <w:r>
        <w:t>Most detected emotion during analysis: sad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Emotion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433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fear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disgust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happy</w:t>
            </w:r>
          </w:p>
        </w:tc>
        <w:tc>
          <w:tcPr>
            <w:tcW w:type="dxa" w:w="2880"/>
          </w:tcPr>
          <w:p>
            <w:r>
              <w:t>262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613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surprise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