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Facial Attribute Analysis Report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Facial attribute analysis Nil</w:t>
      </w:r>
    </w:p>
    <w:p>
      <w:r>
        <w:t>Total emotions detected during analysis: 0</w:t>
      </w:r>
    </w:p>
    <w:p>
      <w:r>
        <w:t>Most detected emotion during analysis: neutral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Emotion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fear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disgust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happy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surprise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