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B452">
      <w:pPr>
        <w:pStyle w:val="2"/>
      </w:pPr>
      <w:r>
        <w:t>Lead of Engineering — Technical Assessment Questionnaire</w:t>
      </w:r>
    </w:p>
    <w:p w14:paraId="50A368E8">
      <w:r>
        <w:t xml:space="preserve">Oct 13, 2026 </w:t>
      </w:r>
    </w:p>
    <w:p w14:paraId="27FC722F">
      <w:r>
        <w:rPr>
          <w:b/>
        </w:rPr>
        <w:t>Belema Fintech</w:t>
      </w:r>
      <w:r>
        <w:t xml:space="preserve"> · Engineering Leadership Hiring · Confidential</w:t>
      </w:r>
    </w:p>
    <w:p w14:paraId="1AB5501D">
      <w:r>
        <w:t xml:space="preserve">Thank you for the time you spent with us in the earlier interview. This written assessment is the next stage for the </w:t>
      </w:r>
      <w:r>
        <w:rPr>
          <w:b/>
        </w:rPr>
        <w:t>Lead of Engineering</w:t>
      </w:r>
      <w:r>
        <w:t xml:space="preserve"> role. It has three questions covering system design, data structures and production failure handling in payments.</w:t>
      </w:r>
    </w:p>
    <w:p w14:paraId="38CF369C">
      <w:pPr>
        <w:pStyle w:val="3"/>
      </w:pPr>
      <w:r>
        <w:t>Candidate details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D6757A5">
        <w:trPr>
          <w:tblHeader/>
        </w:trPr>
        <w:tc>
          <w:tcPr>
            <w:tcW w:w="4680" w:type="dxa"/>
            <w:shd w:val="clear" w:color="auto" w:fill="F2F2F2"/>
          </w:tcPr>
          <w:p w14:paraId="006EE2DB">
            <w:r>
              <w:t>Field</w:t>
            </w:r>
          </w:p>
        </w:tc>
        <w:tc>
          <w:tcPr>
            <w:tcW w:w="4680" w:type="dxa"/>
            <w:shd w:val="clear" w:color="auto" w:fill="F2F2F2"/>
          </w:tcPr>
          <w:p w14:paraId="3901996A">
            <w:r>
              <w:t>Entry</w:t>
            </w:r>
          </w:p>
        </w:tc>
      </w:tr>
      <w:tr w14:paraId="0639F4A5">
        <w:tc>
          <w:tcPr>
            <w:tcW w:w="4680" w:type="dxa"/>
          </w:tcPr>
          <w:p w14:paraId="509A159B">
            <w:r>
              <w:t>Candidate name</w:t>
            </w:r>
          </w:p>
        </w:tc>
        <w:tc>
          <w:tcPr>
            <w:tcW w:w="4680" w:type="dxa"/>
          </w:tcPr>
          <w:p w14:paraId="423BABC8">
            <w:pPr>
              <w:rPr>
                <w:rFonts w:hint="default"/>
                <w:lang w:val="en-US"/>
              </w:rPr>
            </w:pPr>
            <w:r>
              <w:rPr>
                <w:rFonts w:hint="default"/>
                <w:lang w:val="en-US"/>
              </w:rPr>
              <w:t>Akinyele Oluwatosin</w:t>
            </w:r>
          </w:p>
        </w:tc>
      </w:tr>
      <w:tr w14:paraId="442C53AC">
        <w:tc>
          <w:tcPr>
            <w:tcW w:w="4680" w:type="dxa"/>
          </w:tcPr>
          <w:p w14:paraId="786B2160">
            <w:r>
              <w:t>Email</w:t>
            </w:r>
          </w:p>
        </w:tc>
        <w:tc>
          <w:tcPr>
            <w:tcW w:w="4680" w:type="dxa"/>
          </w:tcPr>
          <w:p w14:paraId="40EC4BFF">
            <w:pPr>
              <w:rPr>
                <w:rFonts w:hint="default"/>
                <w:lang w:val="en-US"/>
              </w:rPr>
            </w:pPr>
            <w:r>
              <w:rPr>
                <w:rFonts w:hint="default"/>
                <w:lang w:val="en-US"/>
              </w:rPr>
              <w:t>akinyeleolat2005@gmail.com</w:t>
            </w:r>
          </w:p>
        </w:tc>
      </w:tr>
      <w:tr w14:paraId="3B61A46A">
        <w:tc>
          <w:tcPr>
            <w:tcW w:w="4680" w:type="dxa"/>
          </w:tcPr>
          <w:p w14:paraId="7392C5BF">
            <w:r>
              <w:t>Date issued</w:t>
            </w:r>
          </w:p>
        </w:tc>
        <w:tc>
          <w:tcPr>
            <w:tcW w:w="4680" w:type="dxa"/>
          </w:tcPr>
          <w:p w14:paraId="60B92F8A">
            <w:pPr>
              <w:rPr>
                <w:rFonts w:hint="default"/>
                <w:lang w:val="en-US"/>
              </w:rPr>
            </w:pPr>
            <w:r>
              <w:rPr>
                <w:rFonts w:hint="default"/>
                <w:lang w:val="en-US"/>
              </w:rPr>
              <w:t>14</w:t>
            </w:r>
            <w:r>
              <w:rPr>
                <w:rFonts w:hint="default"/>
                <w:vertAlign w:val="superscript"/>
                <w:lang w:val="en-US"/>
              </w:rPr>
              <w:t>th</w:t>
            </w:r>
            <w:r>
              <w:rPr>
                <w:rFonts w:hint="default"/>
                <w:lang w:val="en-US"/>
              </w:rPr>
              <w:t xml:space="preserve"> October, 2026</w:t>
            </w:r>
          </w:p>
        </w:tc>
      </w:tr>
      <w:tr w14:paraId="46F24403">
        <w:tc>
          <w:tcPr>
            <w:tcW w:w="4680" w:type="dxa"/>
          </w:tcPr>
          <w:p w14:paraId="2BED43D6">
            <w:r>
              <w:t>Submission deadline</w:t>
            </w:r>
          </w:p>
        </w:tc>
        <w:tc>
          <w:tcPr>
            <w:tcW w:w="4680" w:type="dxa"/>
          </w:tcPr>
          <w:p w14:paraId="48502D9A">
            <w:pPr>
              <w:rPr>
                <w:rFonts w:hint="default"/>
                <w:lang w:val="en-US"/>
              </w:rPr>
            </w:pPr>
            <w:r>
              <w:rPr>
                <w:rFonts w:hint="default"/>
                <w:lang w:val="en-US"/>
              </w:rPr>
              <w:t>16</w:t>
            </w:r>
            <w:r>
              <w:rPr>
                <w:rFonts w:hint="default"/>
                <w:vertAlign w:val="superscript"/>
                <w:lang w:val="en-US"/>
              </w:rPr>
              <w:t>th</w:t>
            </w:r>
            <w:r>
              <w:rPr>
                <w:rFonts w:hint="default"/>
                <w:lang w:val="en-US"/>
              </w:rPr>
              <w:t xml:space="preserve"> October, 2026.</w:t>
            </w:r>
          </w:p>
        </w:tc>
      </w:tr>
    </w:tbl>
    <w:p w14:paraId="5728037A">
      <w:pPr>
        <w:pStyle w:val="3"/>
      </w:pPr>
      <w:r>
        <w:t>Instructions</w:t>
      </w:r>
    </w:p>
    <w:p w14:paraId="351A37BD">
      <w:pPr>
        <w:pStyle w:val="20"/>
        <w:numPr>
          <w:ilvl w:val="0"/>
          <w:numId w:val="1"/>
        </w:numPr>
      </w:pPr>
      <w:r>
        <w:t>Answer all three questions. Each question states what we expect you to submit.</w:t>
      </w:r>
    </w:p>
    <w:p w14:paraId="49D90E06">
      <w:pPr>
        <w:pStyle w:val="20"/>
        <w:numPr>
          <w:ilvl w:val="0"/>
          <w:numId w:val="1"/>
        </w:numPr>
      </w:pPr>
      <w:r>
        <w:t xml:space="preserve">Where the brief is silent, make reasonable assumptions and </w:t>
      </w:r>
      <w:r>
        <w:rPr>
          <w:b/>
        </w:rPr>
        <w:t>state them explicitly</w:t>
      </w:r>
      <w:r>
        <w:t xml:space="preserve"> at the start of your answer.</w:t>
      </w:r>
    </w:p>
    <w:p w14:paraId="26FBD725">
      <w:pPr>
        <w:pStyle w:val="20"/>
        <w:numPr>
          <w:ilvl w:val="0"/>
          <w:numId w:val="1"/>
        </w:numPr>
      </w:pPr>
      <w:r>
        <w:t>You may send clarifying questions or raise concerns about scope before you begin. Questioning the brief is welcome and counts in your favour.</w:t>
      </w:r>
    </w:p>
    <w:p w14:paraId="26796D8D">
      <w:pPr>
        <w:pStyle w:val="20"/>
        <w:numPr>
          <w:ilvl w:val="0"/>
          <w:numId w:val="1"/>
        </w:numPr>
      </w:pPr>
      <w:r>
        <w:t>Diagrams may be produced in any tool (draw.io, Mermaid, PlantUML, Excalidraw, Lucidchart or a clear hand drawing). Export them as PDF or PNG.</w:t>
      </w:r>
    </w:p>
    <w:p w14:paraId="1B6C7C2A">
      <w:pPr>
        <w:pStyle w:val="20"/>
        <w:numPr>
          <w:ilvl w:val="0"/>
          <w:numId w:val="1"/>
        </w:numPr>
      </w:pPr>
      <w:r>
        <w:t>Code may be written in any mainstream language (Java, Kotlin, Go, C#, TypeScript or Python). It should compile or run and include brief instructions.</w:t>
      </w:r>
    </w:p>
    <w:p w14:paraId="2BE404BE">
      <w:pPr>
        <w:pStyle w:val="20"/>
        <w:numPr>
          <w:ilvl w:val="0"/>
          <w:numId w:val="1"/>
        </w:numPr>
      </w:pPr>
      <w:r>
        <w:t>Submit a single PDF for written answers and diagrams, plus a zip file or repository link for code.</w:t>
      </w:r>
    </w:p>
    <w:p w14:paraId="6596AA50">
      <w:pPr>
        <w:pStyle w:val="3"/>
      </w:pPr>
      <w:r>
        <w:t>What we assess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90F68A9">
        <w:trPr>
          <w:tblHeader/>
        </w:trPr>
        <w:tc>
          <w:tcPr>
            <w:tcW w:w="4680" w:type="dxa"/>
            <w:shd w:val="clear" w:color="auto" w:fill="F2F2F2"/>
          </w:tcPr>
          <w:p w14:paraId="6010AF3B">
            <w:r>
              <w:t>Area</w:t>
            </w:r>
          </w:p>
        </w:tc>
        <w:tc>
          <w:tcPr>
            <w:tcW w:w="4680" w:type="dxa"/>
            <w:shd w:val="clear" w:color="auto" w:fill="F2F2F2"/>
          </w:tcPr>
          <w:p w14:paraId="7B1F410C">
            <w:r>
              <w:t>What we look for</w:t>
            </w:r>
          </w:p>
        </w:tc>
      </w:tr>
      <w:tr w14:paraId="465852BE">
        <w:tc>
          <w:tcPr>
            <w:tcW w:w="4680" w:type="dxa"/>
          </w:tcPr>
          <w:p w14:paraId="5F2F0C9C">
            <w:r>
              <w:t>Understanding of the system</w:t>
            </w:r>
          </w:p>
        </w:tc>
        <w:tc>
          <w:tcPr>
            <w:tcW w:w="4680" w:type="dxa"/>
          </w:tcPr>
          <w:p w14:paraId="2B03A832">
            <w:r>
              <w:t>Correct model of components, boundaries and money movement</w:t>
            </w:r>
          </w:p>
        </w:tc>
      </w:tr>
      <w:tr w14:paraId="25F76FBB">
        <w:tc>
          <w:tcPr>
            <w:tcW w:w="4680" w:type="dxa"/>
          </w:tcPr>
          <w:p w14:paraId="456B0EED">
            <w:r>
              <w:t>Design quality</w:t>
            </w:r>
          </w:p>
        </w:tc>
        <w:tc>
          <w:tcPr>
            <w:tcW w:w="4680" w:type="dxa"/>
          </w:tcPr>
          <w:p w14:paraId="37287403">
            <w:r>
              <w:t>Clear structure, sound trade-offs, testability and operability</w:t>
            </w:r>
          </w:p>
        </w:tc>
      </w:tr>
      <w:tr w14:paraId="6BA15D01">
        <w:tc>
          <w:tcPr>
            <w:tcW w:w="4680" w:type="dxa"/>
          </w:tcPr>
          <w:p w14:paraId="20862E34">
            <w:r>
              <w:t>Rigour on failure</w:t>
            </w:r>
          </w:p>
        </w:tc>
        <w:tc>
          <w:tcPr>
            <w:tcW w:w="4680" w:type="dxa"/>
          </w:tcPr>
          <w:p w14:paraId="56A74F7D">
            <w:r>
              <w:t>Explicit handling of timeouts, duplicates, reversals and unknown outcomes</w:t>
            </w:r>
          </w:p>
        </w:tc>
      </w:tr>
      <w:tr w14:paraId="0F1B4CE4">
        <w:tc>
          <w:tcPr>
            <w:tcW w:w="4680" w:type="dxa"/>
          </w:tcPr>
          <w:p w14:paraId="2879CD1A">
            <w:r>
              <w:t>Code quality</w:t>
            </w:r>
          </w:p>
        </w:tc>
        <w:tc>
          <w:tcPr>
            <w:tcW w:w="4680" w:type="dxa"/>
          </w:tcPr>
          <w:p w14:paraId="63BE1AE9">
            <w:r>
              <w:t>Correctness, readability, complexity awareness and tests</w:t>
            </w:r>
          </w:p>
        </w:tc>
      </w:tr>
      <w:tr w14:paraId="769BD8A5">
        <w:tc>
          <w:tcPr>
            <w:tcW w:w="4680" w:type="dxa"/>
          </w:tcPr>
          <w:p w14:paraId="25617E0D">
            <w:r>
              <w:t>Communication</w:t>
            </w:r>
          </w:p>
        </w:tc>
        <w:tc>
          <w:tcPr>
            <w:tcW w:w="4680" w:type="dxa"/>
          </w:tcPr>
          <w:p w14:paraId="282D8D8B">
            <w:r>
              <w:t>Assumptions stated, diagrams legible, decisions justified</w:t>
            </w:r>
          </w:p>
        </w:tc>
      </w:tr>
    </w:tbl>
    <w:p w14:paraId="53D33943">
      <w:pPr>
        <w:pStyle w:val="3"/>
      </w:pPr>
      <w:r>
        <w:t>Question 1 — End-to-End Integration Test Module: System Design</w:t>
      </w:r>
    </w:p>
    <w:p w14:paraId="69489AFA">
      <w:pPr>
        <w:pStyle w:val="4"/>
      </w:pPr>
      <w:r>
        <w:t>Background</w:t>
      </w:r>
    </w:p>
    <w:p w14:paraId="216E4848">
      <w:r>
        <w:t>Belema Fintech operates three applications:</w:t>
      </w:r>
    </w:p>
    <w:p w14:paraId="1ED7B55F">
      <w:pPr>
        <w:pStyle w:val="20"/>
        <w:numPr>
          <w:ilvl w:val="0"/>
          <w:numId w:val="2"/>
        </w:numPr>
      </w:pPr>
      <w:r>
        <w:rPr>
          <w:b/>
        </w:rPr>
        <w:t>Payment Gateway (PG)</w:t>
      </w:r>
    </w:p>
    <w:p w14:paraId="5455AE5D">
      <w:pPr>
        <w:pStyle w:val="20"/>
        <w:numPr>
          <w:ilvl w:val="0"/>
          <w:numId w:val="2"/>
        </w:numPr>
      </w:pPr>
      <w:r>
        <w:rPr>
          <w:b/>
        </w:rPr>
        <w:t>Virtual Accounts (VA)</w:t>
      </w:r>
    </w:p>
    <w:p w14:paraId="760F101B">
      <w:pPr>
        <w:pStyle w:val="20"/>
        <w:numPr>
          <w:ilvl w:val="0"/>
          <w:numId w:val="2"/>
        </w:numPr>
      </w:pPr>
      <w:r>
        <w:rPr>
          <w:b/>
        </w:rPr>
        <w:t>Transfer Switch (Switch)</w:t>
      </w:r>
    </w:p>
    <w:p w14:paraId="3AE9D259">
      <w:r>
        <w:t>The Payment Gateway supports merchant collections through two channels, card rails and account transfer. It also supports merchant payouts from the wallet through the Switch. Each flow is described below.</w:t>
      </w:r>
    </w:p>
    <w:p w14:paraId="37376198">
      <w:pPr>
        <w:pStyle w:val="4"/>
      </w:pPr>
      <w:r>
        <w:t>Flow A — Collection via card rails</w:t>
      </w:r>
    </w:p>
    <w:p w14:paraId="62A7E613">
      <w:pPr>
        <w:pStyle w:val="20"/>
        <w:numPr>
          <w:ilvl w:val="0"/>
          <w:numId w:val="3"/>
        </w:numPr>
      </w:pPr>
      <w:r>
        <w:t>The PG integrates with external downstream card processors that expose REST endpoints.</w:t>
      </w:r>
    </w:p>
    <w:p w14:paraId="5E324948">
      <w:pPr>
        <w:pStyle w:val="20"/>
        <w:numPr>
          <w:ilvl w:val="0"/>
          <w:numId w:val="3"/>
        </w:numPr>
      </w:pPr>
      <w:r>
        <w:t>A processor returns a response indicating whether the card charge succeeded or failed.</w:t>
      </w:r>
    </w:p>
    <w:p w14:paraId="4A323BF4">
      <w:pPr>
        <w:pStyle w:val="20"/>
        <w:numPr>
          <w:ilvl w:val="0"/>
          <w:numId w:val="3"/>
        </w:numPr>
      </w:pPr>
      <w:r>
        <w:t xml:space="preserve">A failed charge returns </w:t>
      </w:r>
      <w:r>
        <w:rPr>
          <w:b/>
        </w:rPr>
        <w:t>HTTP 200</w:t>
      </w:r>
      <w:r>
        <w:t xml:space="preserve"> with a </w:t>
      </w:r>
      <w:r>
        <w:rPr>
          <w:rStyle w:val="19"/>
        </w:rPr>
        <w:t>responseCode</w:t>
      </w:r>
      <w:r>
        <w:t xml:space="preserve"> and </w:t>
      </w:r>
      <w:r>
        <w:rPr>
          <w:rStyle w:val="19"/>
        </w:rPr>
        <w:t>responseMessage</w:t>
      </w:r>
      <w:r>
        <w:t xml:space="preserve"> in the response body.</w:t>
      </w:r>
    </w:p>
    <w:p w14:paraId="0432CF98">
      <w:pPr>
        <w:pStyle w:val="20"/>
        <w:numPr>
          <w:ilvl w:val="0"/>
          <w:numId w:val="3"/>
        </w:numPr>
      </w:pPr>
      <w:r>
        <w:t>On the outcome, the PG updates an internal wallet held inside the Payment Gateway.</w:t>
      </w:r>
    </w:p>
    <w:p w14:paraId="2C52A66E">
      <w:pPr>
        <w:pStyle w:val="4"/>
      </w:pPr>
      <w:r>
        <w:t>Flow B — Collection via account transfer</w:t>
      </w:r>
    </w:p>
    <w:p w14:paraId="79C783E1">
      <w:pPr>
        <w:pStyle w:val="20"/>
        <w:numPr>
          <w:ilvl w:val="0"/>
          <w:numId w:val="3"/>
        </w:numPr>
      </w:pPr>
      <w:r>
        <w:t xml:space="preserve">The PG calls the Virtual Accounts service to generate a </w:t>
      </w:r>
      <w:r>
        <w:rPr>
          <w:b/>
        </w:rPr>
        <w:t>dynamic virtual account</w:t>
      </w:r>
      <w:r>
        <w:t>.</w:t>
      </w:r>
    </w:p>
    <w:p w14:paraId="761B383C">
      <w:pPr>
        <w:pStyle w:val="20"/>
        <w:numPr>
          <w:ilvl w:val="0"/>
          <w:numId w:val="3"/>
        </w:numPr>
      </w:pPr>
      <w:r>
        <w:t>The customer pays into the dynamic VA from their mobile banking app. The payment routes inwards through our Switch into the VA.</w:t>
      </w:r>
    </w:p>
    <w:p w14:paraId="0D494C69">
      <w:pPr>
        <w:pStyle w:val="20"/>
        <w:numPr>
          <w:ilvl w:val="0"/>
          <w:numId w:val="3"/>
        </w:numPr>
      </w:pPr>
      <w:r>
        <w:t xml:space="preserve">On receiving the credit, the VA service sends a </w:t>
      </w:r>
      <w:r>
        <w:rPr>
          <w:b/>
        </w:rPr>
        <w:t>callback</w:t>
      </w:r>
      <w:r>
        <w:t xml:space="preserve"> to the PG.</w:t>
      </w:r>
    </w:p>
    <w:p w14:paraId="5005204D">
      <w:pPr>
        <w:pStyle w:val="20"/>
        <w:numPr>
          <w:ilvl w:val="0"/>
          <w:numId w:val="3"/>
        </w:numPr>
      </w:pPr>
      <w:r>
        <w:t xml:space="preserve">A successful callback updates the internal wallet. A failure callback carries a </w:t>
      </w:r>
      <w:r>
        <w:rPr>
          <w:rStyle w:val="19"/>
        </w:rPr>
        <w:t>responseCode</w:t>
      </w:r>
      <w:r>
        <w:t xml:space="preserve"> and </w:t>
      </w:r>
      <w:r>
        <w:rPr>
          <w:rStyle w:val="19"/>
        </w:rPr>
        <w:t>responseMessage</w:t>
      </w:r>
      <w:r>
        <w:t>.</w:t>
      </w:r>
    </w:p>
    <w:p w14:paraId="6FB500BD">
      <w:pPr>
        <w:pStyle w:val="4"/>
      </w:pPr>
      <w:r>
        <w:t>Flow C — Payout (transfer out) via the Switch</w:t>
      </w:r>
    </w:p>
    <w:p w14:paraId="0DEA398A">
      <w:pPr>
        <w:pStyle w:val="20"/>
        <w:numPr>
          <w:ilvl w:val="0"/>
          <w:numId w:val="3"/>
        </w:numPr>
      </w:pPr>
      <w:r>
        <w:t xml:space="preserve">The merchant moves money out of the wallet. The wallet is </w:t>
      </w:r>
      <w:r>
        <w:rPr>
          <w:b/>
        </w:rPr>
        <w:t>debited</w:t>
      </w:r>
      <w:r>
        <w:t xml:space="preserve"> first.</w:t>
      </w:r>
    </w:p>
    <w:p w14:paraId="6DAE25BE">
      <w:pPr>
        <w:pStyle w:val="20"/>
        <w:numPr>
          <w:ilvl w:val="0"/>
          <w:numId w:val="3"/>
        </w:numPr>
      </w:pPr>
      <w:r>
        <w:t>The PG calls a transfer API on the Switch.</w:t>
      </w:r>
    </w:p>
    <w:p w14:paraId="4CEAD638">
      <w:pPr>
        <w:pStyle w:val="20"/>
        <w:numPr>
          <w:ilvl w:val="0"/>
          <w:numId w:val="3"/>
        </w:numPr>
      </w:pPr>
      <w:r>
        <w:t>The Switch calls an external entity, which may be another switch, a bank or NIBSS.</w:t>
      </w:r>
    </w:p>
    <w:p w14:paraId="68290745">
      <w:pPr>
        <w:pStyle w:val="20"/>
        <w:numPr>
          <w:ilvl w:val="0"/>
          <w:numId w:val="3"/>
        </w:numPr>
      </w:pPr>
      <w:r>
        <w:t>On receiving the external response, the Switch informs the PG of success or failure.</w:t>
      </w:r>
    </w:p>
    <w:p w14:paraId="0908D59C">
      <w:pPr>
        <w:pStyle w:val="20"/>
        <w:numPr>
          <w:ilvl w:val="0"/>
          <w:numId w:val="3"/>
        </w:numPr>
      </w:pPr>
      <w:r>
        <w:t>On failure (</w:t>
      </w:r>
      <w:r>
        <w:rPr>
          <w:b/>
        </w:rPr>
        <w:t>HTTP 200</w:t>
      </w:r>
      <w:r>
        <w:t xml:space="preserve"> with a failure </w:t>
      </w:r>
      <w:r>
        <w:rPr>
          <w:rStyle w:val="19"/>
        </w:rPr>
        <w:t>responseCode</w:t>
      </w:r>
      <w:r>
        <w:t xml:space="preserve"> and </w:t>
      </w:r>
      <w:r>
        <w:rPr>
          <w:rStyle w:val="19"/>
        </w:rPr>
        <w:t>responseMessage</w:t>
      </w:r>
      <w:r>
        <w:t xml:space="preserve">), the wallet debit is </w:t>
      </w:r>
      <w:r>
        <w:rPr>
          <w:b/>
        </w:rPr>
        <w:t>reversed</w:t>
      </w:r>
      <w:r>
        <w:t>.</w:t>
      </w:r>
    </w:p>
    <w:p w14:paraId="32F77898">
      <w:pPr>
        <w:pStyle w:val="4"/>
      </w:pPr>
      <w:r>
        <w:t>The task</w:t>
      </w:r>
    </w:p>
    <w:p w14:paraId="5ADA3E87">
      <w:r>
        <w:t xml:space="preserve">Produce a </w:t>
      </w:r>
      <w:r>
        <w:rPr>
          <w:b/>
        </w:rPr>
        <w:t>system design document</w:t>
      </w:r>
      <w:r>
        <w:t xml:space="preserve"> for an </w:t>
      </w:r>
      <w:r>
        <w:rPr>
          <w:b/>
        </w:rPr>
        <w:t>End-to-End Integration Test module</w:t>
      </w:r>
      <w:r>
        <w:t xml:space="preserve">. The module lives </w:t>
      </w:r>
      <w:r>
        <w:rPr>
          <w:b/>
        </w:rPr>
        <w:t>outside</w:t>
      </w:r>
      <w:r>
        <w:t xml:space="preserve"> the Payment Gateway application. It must be able to exercise the success and failure scenarios of Flows A, B and C.</w:t>
      </w:r>
    </w:p>
    <w:p w14:paraId="019D9CAF">
      <w:pPr>
        <w:pStyle w:val="4"/>
      </w:pPr>
      <w:r>
        <w:t>Assumptions and freedom</w:t>
      </w:r>
    </w:p>
    <w:p w14:paraId="16909EAC">
      <w:pPr>
        <w:pStyle w:val="20"/>
        <w:numPr>
          <w:ilvl w:val="0"/>
          <w:numId w:val="3"/>
        </w:numPr>
      </w:pPr>
      <w:r>
        <w:t>All functionality is driven by REST API endpoints.</w:t>
      </w:r>
    </w:p>
    <w:p w14:paraId="4523EFB2">
      <w:pPr>
        <w:pStyle w:val="20"/>
        <w:numPr>
          <w:ilvl w:val="0"/>
          <w:numId w:val="3"/>
        </w:numPr>
      </w:pPr>
      <w:r>
        <w:t>You may define API names, paths, request bodies and response bodies, beyond what is specified above.</w:t>
      </w:r>
    </w:p>
    <w:p w14:paraId="0EAF6263">
      <w:pPr>
        <w:pStyle w:val="20"/>
        <w:numPr>
          <w:ilvl w:val="0"/>
          <w:numId w:val="3"/>
        </w:numPr>
      </w:pPr>
      <w:r>
        <w:t>If the scope is unclear, or you have concerns about the APIs as described, send us your questions before or alongside your answer.</w:t>
      </w:r>
    </w:p>
    <w:p w14:paraId="795E1C2B">
      <w:pPr>
        <w:pStyle w:val="4"/>
      </w:pPr>
      <w:r>
        <w:t>Required deliverables</w:t>
      </w:r>
    </w:p>
    <w:p w14:paraId="2A6BA445">
      <w:pPr>
        <w:pStyle w:val="20"/>
        <w:numPr>
          <w:ilvl w:val="0"/>
          <w:numId w:val="4"/>
        </w:numPr>
      </w:pPr>
      <w:r>
        <w:rPr>
          <w:b/>
        </w:rPr>
        <w:t>Whole-system block diagram.</w:t>
      </w:r>
      <w:r>
        <w:t xml:space="preserve"> Show every component, including the test module, PG, internal wallet, VA, Switch and external parties. Label each API endpoint and the mode of communication on each link (for example synchronous REST, asynchronous callback or webhook, queue). This tells us whether you have understood the system.</w:t>
      </w:r>
    </w:p>
    <w:p w14:paraId="7E89AE46">
      <w:pPr>
        <w:pStyle w:val="20"/>
        <w:numPr>
          <w:ilvl w:val="0"/>
          <w:numId w:val="4"/>
        </w:numPr>
      </w:pPr>
      <w:r>
        <w:rPr>
          <w:b/>
        </w:rPr>
        <w:t>Sequence diagrams, one per subsystem under test.</w:t>
      </w:r>
      <w:r>
        <w:t xml:space="preserve"> Cover both the success path and the failure path for card collection, VA collection and payout via the Switch.</w:t>
      </w:r>
    </w:p>
    <w:p w14:paraId="02EFB103">
      <w:pPr>
        <w:pStyle w:val="20"/>
        <w:numPr>
          <w:ilvl w:val="0"/>
          <w:numId w:val="4"/>
        </w:numPr>
      </w:pPr>
      <w:r>
        <w:rPr>
          <w:b/>
        </w:rPr>
        <w:t>Design narrative.</w:t>
      </w:r>
      <w:r>
        <w:t xml:space="preserve"> Explain how the module invokes each flow and observes outcomes, including asynchronous callbacks. Explain how external dependencies are controlled to force success and failure. Explain how wallet state is asserted, including the debit reversal. Cover test data, environment isolation and how the suite runs in CI.</w:t>
      </w:r>
    </w:p>
    <w:p w14:paraId="4066840D">
      <w:pPr>
        <w:pStyle w:val="20"/>
        <w:numPr>
          <w:ilvl w:val="0"/>
          <w:numId w:val="4"/>
        </w:numPr>
      </w:pPr>
      <w:r>
        <w:rPr>
          <w:b/>
        </w:rPr>
        <w:t>Assumed API contracts.</w:t>
      </w:r>
      <w:r>
        <w:t xml:space="preserve"> List the endpoints you assumed, with sample request and response bodies.</w:t>
      </w:r>
    </w:p>
    <w:p w14:paraId="37E4B6E6">
      <w:pPr>
        <w:pStyle w:val="4"/>
      </w:pPr>
      <w:r>
        <w:t>Guidance</w:t>
      </w:r>
    </w:p>
    <w:p w14:paraId="5C496DAB">
      <w:r>
        <w:t xml:space="preserve">We are particularly interested in how you treat </w:t>
      </w:r>
      <w:r>
        <w:rPr>
          <w:b/>
        </w:rPr>
        <w:t>HTTP 200 responses that represent business failures</w:t>
      </w:r>
      <w:r>
        <w:t>. We also want to see how you wait for asynchronous callbacks without flaky tests, and how you prove the wallet ends in the correct state.</w:t>
      </w:r>
    </w:p>
    <w:p w14:paraId="08012A57">
      <w:pPr>
        <w:pStyle w:val="3"/>
      </w:pPr>
      <w:r>
        <w:t>Question 2 — Lookahead Search for Bank Names</w:t>
      </w:r>
    </w:p>
    <w:p w14:paraId="2FC210B1">
      <w:pPr>
        <w:pStyle w:val="4"/>
      </w:pPr>
      <w:r>
        <w:t>Background</w:t>
      </w:r>
    </w:p>
    <w:p w14:paraId="43071BE9">
      <w:r>
        <w:t xml:space="preserve">Our mobile banking app lets customers add beneficiaries. While adding one, the customer selects the destination bank from a list of roughly </w:t>
      </w:r>
      <w:r>
        <w:rPr>
          <w:b/>
        </w:rPr>
        <w:t>900 banks</w:t>
      </w:r>
      <w:r>
        <w:t xml:space="preserve">. We need a </w:t>
      </w:r>
      <w:r>
        <w:rPr>
          <w:b/>
        </w:rPr>
        <w:t>lookahead (type-ahead) search</w:t>
      </w:r>
      <w:r>
        <w:t xml:space="preserve"> that suggests matching banks as the customer types.</w:t>
      </w:r>
    </w:p>
    <w:p w14:paraId="02C689AC">
      <w:r>
        <w:t xml:space="preserve">A search engine such as Elasticsearch is not justified for a dataset this small. We want an </w:t>
      </w:r>
      <w:r>
        <w:rPr>
          <w:b/>
        </w:rPr>
        <w:t>in-house solution</w:t>
      </w:r>
      <w:r>
        <w:t xml:space="preserve"> that performs well.</w:t>
      </w:r>
    </w:p>
    <w:p w14:paraId="159C3EAA">
      <w:pPr>
        <w:pStyle w:val="4"/>
      </w:pPr>
      <w:r>
        <w:t>The task</w:t>
      </w:r>
    </w:p>
    <w:p w14:paraId="261CB590">
      <w:pPr>
        <w:pStyle w:val="20"/>
        <w:numPr>
          <w:ilvl w:val="0"/>
          <w:numId w:val="5"/>
        </w:numPr>
      </w:pPr>
      <w:r>
        <w:rPr>
          <w:b/>
        </w:rPr>
        <w:t>Identify the data structure</w:t>
      </w:r>
      <w:r>
        <w:t xml:space="preserve"> you would use and justify the choice against at least one alternative.</w:t>
      </w:r>
    </w:p>
    <w:p w14:paraId="366E0977">
      <w:pPr>
        <w:pStyle w:val="20"/>
        <w:numPr>
          <w:ilvl w:val="0"/>
          <w:numId w:val="5"/>
        </w:numPr>
      </w:pPr>
      <w:r>
        <w:rPr>
          <w:b/>
        </w:rPr>
        <w:t>Implement the data structure</w:t>
      </w:r>
      <w:r>
        <w:t xml:space="preserve"> in code, with operations to insert a bank and to return suggestions for a typed prefix.</w:t>
      </w:r>
    </w:p>
    <w:p w14:paraId="366DDDE4">
      <w:pPr>
        <w:pStyle w:val="20"/>
        <w:numPr>
          <w:ilvl w:val="0"/>
          <w:numId w:val="5"/>
        </w:numPr>
      </w:pPr>
      <w:r>
        <w:rPr>
          <w:b/>
        </w:rPr>
        <w:t>State the time and space complexity</w:t>
      </w:r>
      <w:r>
        <w:t xml:space="preserve"> of build, insert and lookup.</w:t>
      </w:r>
    </w:p>
    <w:p w14:paraId="2FE64E7E">
      <w:pPr>
        <w:pStyle w:val="4"/>
      </w:pPr>
      <w:r>
        <w:t>Points to address</w:t>
      </w:r>
    </w:p>
    <w:p w14:paraId="315E095F">
      <w:pPr>
        <w:pStyle w:val="20"/>
        <w:numPr>
          <w:ilvl w:val="0"/>
          <w:numId w:val="3"/>
        </w:numPr>
      </w:pPr>
      <w:r>
        <w:t>Case-insensitive matching, and how you treat spaces and punctuation in names.</w:t>
      </w:r>
    </w:p>
    <w:p w14:paraId="7F9A53EE">
      <w:pPr>
        <w:pStyle w:val="20"/>
        <w:numPr>
          <w:ilvl w:val="0"/>
          <w:numId w:val="3"/>
        </w:numPr>
      </w:pPr>
      <w:r>
        <w:t>Matching on words other than the first, for example a customer typing "bank" or "micro".</w:t>
      </w:r>
    </w:p>
    <w:p w14:paraId="5E92CA2B">
      <w:pPr>
        <w:pStyle w:val="20"/>
        <w:numPr>
          <w:ilvl w:val="0"/>
          <w:numId w:val="3"/>
        </w:numPr>
      </w:pPr>
      <w:r>
        <w:t>Limiting and ordering results, for example the top 10 by popularity or alphabetically.</w:t>
      </w:r>
    </w:p>
    <w:p w14:paraId="4062C570">
      <w:pPr>
        <w:pStyle w:val="20"/>
        <w:numPr>
          <w:ilvl w:val="0"/>
          <w:numId w:val="3"/>
        </w:numPr>
      </w:pPr>
      <w:r>
        <w:t>Where the structure lives (client, server or both) and how it is refreshed when the bank list changes.</w:t>
      </w:r>
    </w:p>
    <w:p w14:paraId="283D3028">
      <w:pPr>
        <w:pStyle w:val="4"/>
      </w:pPr>
      <w:r>
        <w:t>Required deliverables</w:t>
      </w:r>
    </w:p>
    <w:p w14:paraId="4E6D3989">
      <w:pPr>
        <w:pStyle w:val="20"/>
        <w:numPr>
          <w:ilvl w:val="0"/>
          <w:numId w:val="3"/>
        </w:numPr>
      </w:pPr>
      <w:r>
        <w:t>Source code with unit tests.</w:t>
      </w:r>
    </w:p>
    <w:p w14:paraId="4F450FCA">
      <w:pPr>
        <w:pStyle w:val="20"/>
        <w:numPr>
          <w:ilvl w:val="0"/>
          <w:numId w:val="3"/>
        </w:numPr>
      </w:pPr>
      <w:r>
        <w:t>A short note (under one page) covering your choice, complexity and the points above.</w:t>
      </w:r>
    </w:p>
    <w:p w14:paraId="277B9C1D">
      <w:pPr>
        <w:pStyle w:val="3"/>
      </w:pPr>
      <w:r>
        <w:t>Question 3 — Transaction Lifecycle Under Uncertain Outcomes</w:t>
      </w:r>
    </w:p>
    <w:p w14:paraId="4C20D54F">
      <w:pPr>
        <w:pStyle w:val="4"/>
      </w:pPr>
      <w:r>
        <w:t>Scenario</w:t>
      </w:r>
    </w:p>
    <w:p w14:paraId="22A40A33">
      <w:r>
        <w:t xml:space="preserve">You route NIP transfers to </w:t>
      </w:r>
      <w:r>
        <w:rPr>
          <w:b/>
        </w:rPr>
        <w:t>22 destination banks</w:t>
      </w:r>
      <w:r>
        <w:t xml:space="preserve">. Bank X is your </w:t>
      </w:r>
      <w:r>
        <w:rPr>
          <w:b/>
        </w:rPr>
        <w:t>third-largest by volume</w:t>
      </w:r>
      <w:r>
        <w:t>.</w:t>
      </w:r>
    </w:p>
    <w:p w14:paraId="0A27F97B">
      <w:r>
        <w:t xml:space="preserve">This morning, Bank X's endpoint starts returning </w:t>
      </w:r>
      <w:r>
        <w:rPr>
          <w:b/>
        </w:rPr>
        <w:t>connection timeouts on roughly 30% of requests</w:t>
      </w:r>
      <w:r>
        <w:t xml:space="preserve">. The timeouts occur </w:t>
      </w:r>
      <w:r>
        <w:rPr>
          <w:b/>
        </w:rPr>
        <w:t>after the socket has been opened and the request written</w:t>
      </w:r>
      <w:r>
        <w:t>. By that point your gateway has already debited the customer's wallet, or in the card case has already received an authorisation.</w:t>
      </w:r>
    </w:p>
    <w:p w14:paraId="3A9AAAF1">
      <w:r>
        <w:t>The situation now stands as follows:</w:t>
      </w:r>
    </w:p>
    <w:p w14:paraId="5A9CAF6C">
      <w:pPr>
        <w:pStyle w:val="20"/>
        <w:numPr>
          <w:ilvl w:val="0"/>
          <w:numId w:val="3"/>
        </w:numPr>
      </w:pPr>
      <w:r>
        <w:t>For the timed-out transactions, you do not know whether Bank X credited the beneficiary.</w:t>
      </w:r>
    </w:p>
    <w:p w14:paraId="4802B433">
      <w:pPr>
        <w:pStyle w:val="20"/>
        <w:numPr>
          <w:ilvl w:val="0"/>
          <w:numId w:val="3"/>
        </w:numPr>
      </w:pPr>
      <w:r>
        <w:t xml:space="preserve">Your support queue holds </w:t>
      </w:r>
      <w:r>
        <w:rPr>
          <w:b/>
        </w:rPr>
        <w:t>4,000 tickets raised in six hours</w:t>
      </w:r>
      <w:r>
        <w:t>.</w:t>
      </w:r>
    </w:p>
    <w:p w14:paraId="2AC7ECEF">
      <w:pPr>
        <w:pStyle w:val="20"/>
        <w:numPr>
          <w:ilvl w:val="0"/>
          <w:numId w:val="3"/>
        </w:numPr>
      </w:pPr>
      <w:r>
        <w:t>Some customers claim non-receipt on transactions that Bank X did in fact complete.</w:t>
      </w:r>
    </w:p>
    <w:p w14:paraId="52D94F96">
      <w:pPr>
        <w:pStyle w:val="20"/>
        <w:numPr>
          <w:ilvl w:val="0"/>
          <w:numId w:val="3"/>
        </w:numPr>
      </w:pPr>
      <w:r>
        <w:t xml:space="preserve">Finance reports that yesterday's settlement position with Bank X is off by </w:t>
      </w:r>
      <w:r>
        <w:rPr>
          <w:b/>
        </w:rPr>
        <w:t>₦180m</w:t>
      </w:r>
      <w:r>
        <w:t>, and they do not know which direction the error runs.</w:t>
      </w:r>
    </w:p>
    <w:p w14:paraId="75CF0142">
      <w:pPr>
        <w:pStyle w:val="4"/>
      </w:pPr>
      <w:r>
        <w:t>The ask</w:t>
      </w:r>
    </w:p>
    <w:p w14:paraId="21704407">
      <w:r>
        <w:t xml:space="preserve">Design the </w:t>
      </w:r>
      <w:r>
        <w:rPr>
          <w:b/>
        </w:rPr>
        <w:t>transaction lifecycle</w:t>
      </w:r>
      <w:r>
        <w:t xml:space="preserve"> and the </w:t>
      </w:r>
      <w:r>
        <w:rPr>
          <w:b/>
        </w:rPr>
        <w:t>failure-handling machinery</w:t>
      </w:r>
      <w:r>
        <w:t xml:space="preserve"> so that this situation is boring rather than catastrophic.</w:t>
      </w:r>
    </w:p>
    <w:p w14:paraId="6AEE8E8B">
      <w:r>
        <w:t xml:space="preserve">Be concrete about </w:t>
      </w:r>
      <w:r>
        <w:rPr>
          <w:b/>
        </w:rPr>
        <w:t>states</w:t>
      </w:r>
      <w:r>
        <w:t xml:space="preserve">, </w:t>
      </w:r>
      <w:r>
        <w:rPr>
          <w:b/>
        </w:rPr>
        <w:t>timers</w:t>
      </w:r>
      <w:r>
        <w:t xml:space="preserve">, and </w:t>
      </w:r>
      <w:r>
        <w:rPr>
          <w:b/>
        </w:rPr>
        <w:t>who or what makes the final call on a transaction's fate</w:t>
      </w:r>
      <w:r>
        <w:t>.</w:t>
      </w:r>
    </w:p>
    <w:p w14:paraId="5CDF47B5">
      <w:pPr>
        <w:pStyle w:val="4"/>
      </w:pPr>
      <w:r>
        <w:t>Your answer should cover</w:t>
      </w:r>
    </w:p>
    <w:p w14:paraId="7CCEC317">
      <w:pPr>
        <w:pStyle w:val="20"/>
        <w:numPr>
          <w:ilvl w:val="0"/>
          <w:numId w:val="6"/>
        </w:numPr>
      </w:pPr>
      <w:r>
        <w:t>A state machine for a transfer, with every state and every permitted transition, including the unknown-outcome state.</w:t>
      </w:r>
    </w:p>
    <w:p w14:paraId="231F4F7B">
      <w:pPr>
        <w:pStyle w:val="20"/>
        <w:numPr>
          <w:ilvl w:val="0"/>
          <w:numId w:val="6"/>
        </w:numPr>
      </w:pPr>
      <w:r>
        <w:t>Timers and thresholds: when you re-query, how often, for how long, and what happens when they expire.</w:t>
      </w:r>
    </w:p>
    <w:p w14:paraId="0338DA8F">
      <w:pPr>
        <w:pStyle w:val="20"/>
        <w:numPr>
          <w:ilvl w:val="0"/>
          <w:numId w:val="6"/>
        </w:numPr>
      </w:pPr>
      <w:r>
        <w:t>The authority that settles a transaction's final status, and the order of precedence between sources such as the bank's response, a status query, NIBSS and the settlement file.</w:t>
      </w:r>
    </w:p>
    <w:p w14:paraId="37254E41">
      <w:pPr>
        <w:pStyle w:val="20"/>
        <w:numPr>
          <w:ilvl w:val="0"/>
          <w:numId w:val="6"/>
        </w:numPr>
      </w:pPr>
      <w:r>
        <w:t>Rules for reversal, so that a customer is never refunded for a transfer that was credited, nor left without funds for one that was not.</w:t>
      </w:r>
    </w:p>
    <w:p w14:paraId="2D37F732">
      <w:pPr>
        <w:pStyle w:val="20"/>
        <w:numPr>
          <w:ilvl w:val="0"/>
          <w:numId w:val="6"/>
        </w:numPr>
      </w:pPr>
      <w:r>
        <w:t>Idempotency and duplicate prevention across retries and re-queries.</w:t>
      </w:r>
    </w:p>
    <w:p w14:paraId="57131301">
      <w:pPr>
        <w:pStyle w:val="20"/>
        <w:numPr>
          <w:ilvl w:val="0"/>
          <w:numId w:val="6"/>
        </w:numPr>
      </w:pPr>
      <w:r>
        <w:t>Protection of the wider platform while Bank X is degraded, for example circuit breaking and routing decisions.</w:t>
      </w:r>
    </w:p>
    <w:p w14:paraId="11CCDF0A">
      <w:pPr>
        <w:pStyle w:val="20"/>
        <w:numPr>
          <w:ilvl w:val="0"/>
          <w:numId w:val="6"/>
        </w:numPr>
      </w:pPr>
      <w:r>
        <w:t>Reconciliation of the ₦180m settlement break, and how the design tells finance which direction it runs.</w:t>
      </w:r>
    </w:p>
    <w:p w14:paraId="7B9535A8">
      <w:pPr>
        <w:pStyle w:val="20"/>
        <w:numPr>
          <w:ilvl w:val="0"/>
          <w:numId w:val="6"/>
        </w:numPr>
      </w:pPr>
      <w:r>
        <w:t>How support, customers and finance see a consistent status, so that 4,000 tickets become a handful.</w:t>
      </w:r>
    </w:p>
    <w:p w14:paraId="2638629F">
      <w:pPr>
        <w:pStyle w:val="4"/>
      </w:pPr>
      <w:r>
        <w:t>Required deliverables</w:t>
      </w:r>
    </w:p>
    <w:p w14:paraId="5C2C3983">
      <w:pPr>
        <w:pStyle w:val="20"/>
        <w:numPr>
          <w:ilvl w:val="0"/>
          <w:numId w:val="3"/>
        </w:numPr>
      </w:pPr>
      <w:r>
        <w:t>A state diagram of the transaction lifecycle.</w:t>
      </w:r>
    </w:p>
    <w:p w14:paraId="27A748EF">
      <w:pPr>
        <w:pStyle w:val="20"/>
        <w:numPr>
          <w:ilvl w:val="0"/>
          <w:numId w:val="3"/>
        </w:numPr>
      </w:pPr>
      <w:r>
        <w:t>A written design covering the points above, with specific timer values and the reasoning behind them.</w:t>
      </w:r>
    </w:p>
    <w:p w14:paraId="57A5B358">
      <w:pPr>
        <w:pStyle w:val="20"/>
        <w:numPr>
          <w:ilvl w:val="0"/>
          <w:numId w:val="3"/>
        </w:numPr>
      </w:pPr>
      <w:r>
        <w:t>A short list of the metrics and alerts that would have surfaced this incident early.</w:t>
      </w:r>
    </w:p>
    <w:p w14:paraId="0ADE0B7E">
      <w:pPr>
        <w:pStyle w:val="3"/>
      </w:pPr>
      <w:r>
        <w:t>Submission checklist</w:t>
      </w:r>
    </w:p>
    <w:p w14:paraId="036B900F">
      <w:pPr>
        <w:pStyle w:val="20"/>
        <w:numPr>
          <w:ilvl w:val="0"/>
          <w:numId w:val="3"/>
        </w:numPr>
      </w:pPr>
      <w:r>
        <w:t>☐ Assumptions stated at the start of each answer</w:t>
      </w:r>
    </w:p>
    <w:p w14:paraId="5082342A">
      <w:pPr>
        <w:pStyle w:val="20"/>
        <w:numPr>
          <w:ilvl w:val="0"/>
          <w:numId w:val="3"/>
        </w:numPr>
      </w:pPr>
      <w:r>
        <w:t>☐ Q1: whole-system block diagram with endpoints and communication modes labelled</w:t>
      </w:r>
    </w:p>
    <w:p w14:paraId="2E180940">
      <w:pPr>
        <w:pStyle w:val="20"/>
        <w:numPr>
          <w:ilvl w:val="0"/>
          <w:numId w:val="3"/>
        </w:numPr>
      </w:pPr>
      <w:r>
        <w:t>☐ Q1: success and failure sequence diagrams for card, VA and payout flows</w:t>
      </w:r>
    </w:p>
    <w:p w14:paraId="6B27957E">
      <w:pPr>
        <w:pStyle w:val="20"/>
        <w:numPr>
          <w:ilvl w:val="0"/>
          <w:numId w:val="3"/>
        </w:numPr>
      </w:pPr>
      <w:r>
        <w:t>☐ Q1: design narrative and assumed API contracts</w:t>
      </w:r>
    </w:p>
    <w:p w14:paraId="689EFA48">
      <w:pPr>
        <w:pStyle w:val="20"/>
        <w:numPr>
          <w:ilvl w:val="0"/>
          <w:numId w:val="3"/>
        </w:numPr>
      </w:pPr>
      <w:r>
        <w:t>☐ Q2: source code with unit tests, plus complexity note</w:t>
      </w:r>
    </w:p>
    <w:p w14:paraId="35F49192">
      <w:pPr>
        <w:pStyle w:val="20"/>
        <w:numPr>
          <w:ilvl w:val="0"/>
          <w:numId w:val="3"/>
        </w:numPr>
      </w:pPr>
      <w:r>
        <w:t>☐ Q3: state diagram, written design with timer values, and metrics and alerts</w:t>
      </w:r>
    </w:p>
    <w:p w14:paraId="028159B9">
      <w:pPr>
        <w:pStyle w:val="20"/>
        <w:numPr>
          <w:ilvl w:val="0"/>
          <w:numId w:val="3"/>
        </w:numPr>
      </w:pPr>
      <w:r>
        <w:t>☐ Written answers combined into one PDF; code attached as a zip or repository link</w:t>
      </w:r>
    </w:p>
    <w:p w14:paraId="375BACDB">
      <w:pPr>
        <w:pStyle w:val="3"/>
      </w:pPr>
      <w:r>
        <w:t>Declaration</w:t>
      </w:r>
    </w:p>
    <w:p w14:paraId="53030C33">
      <w:r>
        <w:t>I confirm that this submission is my own work. Where I have used external references or tools, I have said so.</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E51F36C">
        <w:trPr>
          <w:tblHeader/>
        </w:trPr>
        <w:tc>
          <w:tcPr>
            <w:tcW w:w="4680" w:type="dxa"/>
            <w:shd w:val="clear" w:color="auto" w:fill="F2F2F2"/>
          </w:tcPr>
          <w:p w14:paraId="36F7EBAD"/>
        </w:tc>
        <w:tc>
          <w:tcPr>
            <w:tcW w:w="4680" w:type="dxa"/>
            <w:shd w:val="clear" w:color="auto" w:fill="F2F2F2"/>
          </w:tcPr>
          <w:p w14:paraId="60191BF2"/>
        </w:tc>
      </w:tr>
      <w:tr w14:paraId="6358856A">
        <w:tc>
          <w:tcPr>
            <w:tcW w:w="4680" w:type="dxa"/>
          </w:tcPr>
          <w:p w14:paraId="68F44E46">
            <w:r>
              <w:t>Signature</w:t>
            </w:r>
          </w:p>
        </w:tc>
        <w:tc>
          <w:tcPr>
            <w:tcW w:w="4680" w:type="dxa"/>
          </w:tcPr>
          <w:p w14:paraId="7F6BBDAD">
            <w:pPr>
              <w:rPr>
                <w:rFonts w:hint="default"/>
                <w:lang w:val="en-US"/>
              </w:rPr>
            </w:pPr>
            <w:r>
              <w:rPr>
                <w:rFonts w:hint="default" w:ascii="Apple Chancery" w:hAnsi="Apple Chancery" w:cs="Apple Chancery"/>
                <w:lang w:val="en-US"/>
              </w:rPr>
              <w:t>Oluwakinyele</w:t>
            </w:r>
          </w:p>
        </w:tc>
      </w:tr>
      <w:tr w14:paraId="56F22EBB">
        <w:tc>
          <w:tcPr>
            <w:tcW w:w="4680" w:type="dxa"/>
          </w:tcPr>
          <w:p w14:paraId="56031F2E">
            <w:r>
              <w:t>Date</w:t>
            </w:r>
          </w:p>
        </w:tc>
        <w:tc>
          <w:tcPr>
            <w:tcW w:w="4680" w:type="dxa"/>
          </w:tcPr>
          <w:p w14:paraId="50D00239">
            <w:pPr>
              <w:rPr>
                <w:rFonts w:hint="default"/>
                <w:lang w:val="en-US"/>
              </w:rPr>
            </w:pPr>
            <w:r>
              <w:rPr>
                <w:rFonts w:hint="default"/>
                <w:lang w:val="en-US"/>
              </w:rPr>
              <w:t>16fh October, 2026.</w:t>
            </w:r>
          </w:p>
        </w:tc>
      </w:tr>
    </w:tbl>
    <w:p w14:paraId="69145FC4">
      <w:pPr>
        <w:rPr>
          <w:b/>
          <w:bCs/>
          <w:i/>
          <w:iCs/>
        </w:rPr>
      </w:pPr>
      <w:bookmarkStart w:id="0" w:name="_GoBack"/>
      <w:bookmarkEnd w:id="0"/>
    </w:p>
    <w:p w14:paraId="23F79699">
      <w:pPr>
        <w:rPr>
          <w:b/>
          <w:bCs/>
          <w:i/>
          <w:iCs/>
        </w:rPr>
      </w:pPr>
      <w:r>
        <w:rPr>
          <w:b/>
          <w:bCs/>
          <w:i/>
          <w:iCs/>
        </w:rPr>
        <w:t>Submissions and questions go to the hiring contact named in your invitation email. All material in this questionnaire is confidential to Belema Fintech.</w:t>
      </w:r>
    </w:p>
    <w:sectPr>
      <w:headerReference r:id="rId5"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Regular">
    <w:panose1 w:val="02000503000000020004"/>
    <w:charset w:val="00"/>
    <w:family w:val="auto"/>
    <w:pitch w:val="default"/>
    <w:sig w:usb0="E50002FF" w:usb1="500079DB" w:usb2="00000010" w:usb3="00000000" w:csb0="00000000" w:csb1="00000000"/>
  </w:font>
  <w:font w:name="Al Bayan Plain">
    <w:panose1 w:val="00000000000000000000"/>
    <w:charset w:val="00"/>
    <w:family w:val="auto"/>
    <w:pitch w:val="default"/>
    <w:sig w:usb0="00002000" w:usb1="00000000" w:usb2="00000008" w:usb3="00000000" w:csb0="00000040" w:csb1="20000000"/>
  </w:font>
  <w:font w:name="American Typewriter Regular">
    <w:panose1 w:val="02090604020004020304"/>
    <w:charset w:val="00"/>
    <w:family w:val="auto"/>
    <w:pitch w:val="default"/>
    <w:sig w:usb0="A000006F" w:usb1="00000019" w:usb2="00000000" w:usb3="00000000" w:csb0="20000111" w:csb1="00000000"/>
  </w:font>
  <w:font w:name="Apple Braille Regular">
    <w:panose1 w:val="05000000000000000000"/>
    <w:charset w:val="00"/>
    <w:family w:val="auto"/>
    <w:pitch w:val="default"/>
    <w:sig w:usb0="80000040" w:usb1="00000000" w:usb2="00040000" w:usb3="00000000" w:csb0="00000000" w:csb1="00000000"/>
  </w:font>
  <w:font w:name="Apple SD Gothic Neo Regular">
    <w:panose1 w:val="02000300000000000000"/>
    <w:charset w:val="81"/>
    <w:family w:val="auto"/>
    <w:pitch w:val="default"/>
    <w:sig w:usb0="00000203" w:usb1="21D12C10" w:usb2="00000010" w:usb3="00000000" w:csb0="00280005" w:csb1="00000000"/>
  </w:font>
  <w:font w:name="Apple Chancery">
    <w:panose1 w:val="03020702040506060504"/>
    <w:charset w:val="00"/>
    <w:family w:val="auto"/>
    <w:pitch w:val="default"/>
    <w:sig w:usb0="80000067" w:usb1="00000003" w:usb2="00000000" w:usb3="00000000" w:csb0="200001F3" w:csb1="CDFC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3A07A">
    <w:pPr>
      <w:pStyle w:val="13"/>
    </w:pPr>
    <w:r>
      <w:drawing>
        <wp:inline distT="0" distB="0" distL="0" distR="0">
          <wp:extent cx="1974850" cy="361950"/>
          <wp:effectExtent l="0" t="0" r="6350" b="0"/>
          <wp:docPr id="2605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381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74850" cy="3619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9C673B"/>
    <w:multiLevelType w:val="multilevel"/>
    <w:tmpl w:val="1F9C673B"/>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56EB37F3"/>
    <w:multiLevelType w:val="multilevel"/>
    <w:tmpl w:val="56EB37F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438"/>
    <w:rsid w:val="00403069"/>
    <w:rsid w:val="00A02690"/>
    <w:rsid w:val="00AB5438"/>
    <w:rsid w:val="00C02A16"/>
    <w:rsid w:val="00EF2038"/>
    <w:rsid w:val="FF5F24C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zh-CN"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paragraph" w:styleId="12">
    <w:name w:val="footer"/>
    <w:basedOn w:val="1"/>
    <w:link w:val="22"/>
    <w:unhideWhenUsed/>
    <w:uiPriority w:val="99"/>
    <w:pPr>
      <w:tabs>
        <w:tab w:val="center" w:pos="4513"/>
        <w:tab w:val="right" w:pos="9026"/>
      </w:tabs>
      <w:spacing w:after="0" w:line="240" w:lineRule="auto"/>
    </w:pPr>
  </w:style>
  <w:style w:type="paragraph" w:styleId="13">
    <w:name w:val="header"/>
    <w:basedOn w:val="1"/>
    <w:link w:val="21"/>
    <w:unhideWhenUsed/>
    <w:uiPriority w:val="99"/>
    <w:pPr>
      <w:tabs>
        <w:tab w:val="center" w:pos="4513"/>
        <w:tab w:val="right" w:pos="9026"/>
      </w:tabs>
      <w:spacing w:after="0" w:line="240" w:lineRule="auto"/>
    </w:pPr>
  </w:style>
  <w:style w:type="character" w:styleId="14">
    <w:name w:val="Hyperlink"/>
    <w:uiPriority w:val="0"/>
    <w:rPr>
      <w:color w:val="0563C1"/>
      <w:u w:val="single"/>
    </w:rPr>
  </w:style>
  <w:style w:type="table" w:styleId="15">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spacing w:after="80"/>
      <w:contextualSpacing/>
    </w:pPr>
    <w:rPr>
      <w:sz w:val="5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 w:type="character" w:customStyle="1" w:styleId="21">
    <w:name w:val="Header Char"/>
    <w:basedOn w:val="8"/>
    <w:link w:val="13"/>
    <w:uiPriority w:val="99"/>
  </w:style>
  <w:style w:type="character" w:customStyle="1" w:styleId="22">
    <w:name w:val="Footer Char"/>
    <w:basedOn w:val="8"/>
    <w:link w:val="1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1391</Words>
  <Characters>7930</Characters>
  <Lines>66</Lines>
  <Paragraphs>18</Paragraphs>
  <TotalTime>1082</TotalTime>
  <ScaleCrop>false</ScaleCrop>
  <LinksUpToDate>false</LinksUpToDate>
  <CharactersWithSpaces>9303</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2026-10-13T17:08:00Z</dcterms:created>
  <dc:creator>Data</dc:creator>
  <dc:description>Claude Docs node/fc54ecb6-18c9@6 docx-w6</dc:description>
  <cp:lastModifiedBy>OLUWATOSIN.A AKINYELE</cp:lastModifiedBy>
  <dcterms:modified xsi:type="dcterms:W3CDTF">2026-10-16T16:17:11Z</dcterms:modified>
  <dc:title>Lead of Engineering — Technical Assessment Questionnaire</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4953B27E7D82EF7BF73FD26A06384DE5_42</vt:lpwstr>
  </property>
</Properties>
</file>