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0042724609375" w:right="0" w:firstLine="0"/>
        <w:jc w:val="left"/>
        <w:rPr>
          <w:rFonts w:ascii="Carlito" w:cs="Carlito" w:eastAsia="Carlito" w:hAnsi="Carlito"/>
          <w:b w:val="0"/>
          <w:bCs w:val="0"/>
          <w:i w:val="0"/>
          <w:iCs w:val="0"/>
          <w:smallCaps w:val="0"/>
          <w:strike w:val="0"/>
          <w:color w:val="555555"/>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1f3a5f"/>
          <w:sz w:val="32"/>
          <w:szCs w:val="32"/>
          <w:u w:val="none"/>
          <w:shd w:fill="auto" w:val="clear"/>
          <w:vertAlign w:val="baseline"/>
          <w:rtl w:val="0"/>
        </w:rPr>
        <w:t xml:space="preserve">Statement of GXL's Role in the MMBU Challenge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607421875" w:line="250.80877304077148" w:lineRule="auto"/>
        <w:ind w:left="6.3800048828125" w:right="179.898681640625" w:hanging="4.619903564453125"/>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The MMBU Challenge is a research competition organized and hosted by the Stanford Medical AI and  Computer Vision Lab, which owns the benchmark, sets the rules, and makes all judging decisions.  Generative Expert Labs, Inc. (GXL), a Palo Alto-based AI infrastructure company for biomedical and life sciences research, supports the Challenge as its operating and administrative partner. GXL does not  determine winners, and GXL personnel are not eligible to compete.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51806640625" w:line="240" w:lineRule="auto"/>
        <w:ind w:left="4.840087890625"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GXL is responsible for: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025390625" w:line="244.44786071777344" w:lineRule="auto"/>
        <w:ind w:left="733.2000732421875" w:right="233.360595703125" w:hanging="358.24005126953125"/>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Platform and infrastructure </w:t>
      </w: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hosting evaluation infrastructure and paying compute costs to  run submitted models on the held-out test set, plus providing GXL compute credits to  participants.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4.4473171234131" w:lineRule="auto"/>
        <w:ind w:left="726.6000366210938" w:right="324.3798828125" w:hanging="351.6400146484375"/>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Participant operations </w:t>
      </w: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running registration, the support@mmbu.ai inbox, and participant  communications.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29833984375" w:line="244.44786071777344" w:lineRule="auto"/>
        <w:ind w:left="726.6000366210938" w:right="528.60107421875" w:hanging="351.6400146484375"/>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Sponsor administration </w:t>
      </w: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serving as the single contracting and invoicing counterparty for  sponsors, and reporting to sponsors on how funds were used.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29833984375" w:line="244.447603225708" w:lineRule="auto"/>
        <w:ind w:left="734.3000793457031" w:right="18.91845703125" w:hanging="359.3400573730469"/>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Fund handling </w:t>
      </w: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 receiving sponsor funds, keeping them as a tracked line for the Challenge, and  paying Challenge expenses (infrastructure, event logistics, and prizes funded by sponsors who  permit prize use).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829833984375" w:line="244.4476318359375" w:lineRule="auto"/>
        <w:ind w:left="0" w:right="0" w:hanging="2.64007568359375"/>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2"/>
          <w:szCs w:val="22"/>
          <w:u w:val="none"/>
          <w:shd w:fill="auto" w:val="clear"/>
          <w:vertAlign w:val="baseline"/>
          <w:rtl w:val="0"/>
        </w:rPr>
        <w:t xml:space="preserve">Why sponsorship funds are paid to GXL rather than Stanford. </w:t>
      </w: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Paying funds to GXL lets sponsors make a  simple commercial payment for defined services, rather than a gift or research grant that would go  through Stanford's sponsored-research or gift-acceptance process. Most of the Challenge's costs, such  as compute, platform, and logistics, are incurred by GXL directly, so routing funds to GXL matches the  money to the party paying those costs. GXL can also pay vendors and prize winners on Challenge  timelines.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829833984375" w:line="240" w:lineRule="auto"/>
        <w:ind w:left="7.480010986328125" w:right="0" w:firstLine="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GXL is already set up as a vendor in Biohub's vendor portal.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6435546875" w:line="240" w:lineRule="auto"/>
        <w:ind w:left="6.3800048828125" w:right="0" w:firstLine="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Contact: Vanessa Esquivel, Chief of Staff · vanessa@gxl.ai · 408-508-9832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260009765625" w:line="240" w:lineRule="auto"/>
        <w:ind w:left="0" w:right="0" w:firstLine="0"/>
        <w:jc w:val="center"/>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766.9999694824219" w:top="1425" w:left="1442.8799438476562" w:right="1445.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