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2D9F" w:rsidRDefault="00932D9F"/>
    <w:p w:rsidR="00932D9F" w:rsidRDefault="00932D9F">
      <w:pPr>
        <w:widowControl/>
        <w:jc w:val="left"/>
      </w:pPr>
    </w:p>
    <w:p w:rsidR="00C9150A" w:rsidRDefault="00C9150A"/>
    <w:p w:rsidR="00C9150A" w:rsidRDefault="00932D9F">
      <w:bookmarkStart w:id="0" w:name="_GoBack"/>
      <w:bookmarkEnd w:id="0"/>
      <w:r>
        <w:rPr>
          <w:noProof/>
        </w:rPr>
        <mc:AlternateContent>
          <mc:Choice Requires="wps">
            <w:drawing>
              <wp:anchor distT="0" distB="0" distL="114300" distR="114300" simplePos="0" relativeHeight="251666432" behindDoc="0" locked="0" layoutInCell="1" allowOverlap="1" wp14:anchorId="69858649" wp14:editId="427D96EE">
                <wp:simplePos x="0" y="0"/>
                <wp:positionH relativeFrom="margin">
                  <wp:posOffset>657225</wp:posOffset>
                </wp:positionH>
                <wp:positionV relativeFrom="paragraph">
                  <wp:posOffset>2800350</wp:posOffset>
                </wp:positionV>
                <wp:extent cx="1828800" cy="1828800"/>
                <wp:effectExtent l="0" t="0" r="0" b="1270"/>
                <wp:wrapNone/>
                <wp:docPr id="1" name="テキスト ボックス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932D9F" w:rsidRDefault="00932D9F" w:rsidP="00DF310D">
                            <w:pPr>
                              <w:ind w:firstLineChars="100" w:firstLine="720"/>
                              <w:jc w:val="left"/>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一括有期事業総括表</w:t>
                            </w:r>
                          </w:p>
                          <w:p w:rsidR="00932D9F" w:rsidRDefault="00DF310D" w:rsidP="00DF310D">
                            <w:pPr>
                              <w:ind w:right="1440" w:firstLineChars="300" w:firstLine="2160"/>
                              <w:jc w:val="left"/>
                              <w:rPr>
                                <w:rFonts w:hint="eastAsia"/>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hint="eastAsia"/>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報告書</w:t>
                            </w:r>
                          </w:p>
                          <w:p w:rsidR="00DF310D" w:rsidRPr="00932D9F" w:rsidRDefault="00DF310D" w:rsidP="00DF310D">
                            <w:pPr>
                              <w:jc w:val="center"/>
                              <w:rPr>
                                <w:rFonts w:hint="eastAsia"/>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の書き方</w:t>
                            </w:r>
                          </w:p>
                        </w:txbxContent>
                      </wps:txbx>
                      <wps:bodyPr rot="0" spcFirstLastPara="0" vertOverflow="overflow" horzOverflow="overflow" vert="horz" wrap="none" lIns="74295" tIns="8890" rIns="74295" bIns="8890" numCol="1" spcCol="0" rtlCol="0" fromWordArt="0" anchor="t" anchorCtr="0" forceAA="0" compatLnSpc="1">
                        <a:prstTxWarp prst="textNoShape">
                          <a:avLst/>
                        </a:prstTxWarp>
                        <a:spAutoFit/>
                      </wps:bodyPr>
                    </wps:wsp>
                  </a:graphicData>
                </a:graphic>
              </wp:anchor>
            </w:drawing>
          </mc:Choice>
          <mc:Fallback>
            <w:pict>
              <v:shapetype w14:anchorId="69858649" id="_x0000_t202" coordsize="21600,21600" o:spt="202" path="m,l,21600r21600,l21600,xe">
                <v:stroke joinstyle="miter"/>
                <v:path gradientshapeok="t" o:connecttype="rect"/>
              </v:shapetype>
              <v:shape id="テキスト ボックス 1" o:spid="_x0000_s1026" type="#_x0000_t202" style="position:absolute;left:0;text-align:left;margin-left:51.75pt;margin-top:220.5pt;width:2in;height:2in;z-index:251666432;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" filled="f" stroked="f">
                <v:fill o:detectmouseclick="t"/>
                <v:textbox style="mso-fit-shape-to-text:t" inset="5.85pt,.7pt,5.85pt,.7pt">
                  <w:txbxContent>
                    <w:p w:rsidR="00932D9F" w:rsidRDefault="00932D9F" w:rsidP="00DF310D">
                      <w:pPr>
                        <w:ind w:firstLineChars="100" w:firstLine="720"/>
                        <w:jc w:val="left"/>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一括有期事業総括表</w:t>
                      </w:r>
                    </w:p>
                    <w:p w:rsidR="00932D9F" w:rsidRDefault="00DF310D" w:rsidP="00DF310D">
                      <w:pPr>
                        <w:ind w:right="1440" w:firstLineChars="300" w:firstLine="2160"/>
                        <w:jc w:val="left"/>
                        <w:rPr>
                          <w:rFonts w:hint="eastAsia"/>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hint="eastAsia"/>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報告書</w:t>
                      </w:r>
                    </w:p>
                    <w:p w:rsidR="00DF310D" w:rsidRPr="00932D9F" w:rsidRDefault="00DF310D" w:rsidP="00DF310D">
                      <w:pPr>
                        <w:jc w:val="center"/>
                        <w:rPr>
                          <w:rFonts w:hint="eastAsia"/>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の書き方</w:t>
                      </w:r>
                    </w:p>
                  </w:txbxContent>
                </v:textbox>
                <w10:wrap anchorx="margin"/>
              </v:shape>
            </w:pict>
          </mc:Fallback>
        </mc:AlternateContent>
      </w:r>
    </w:p>
    <w:p w:rsidR="00C9150A" w:rsidRDefault="00932D9F">
      <w:r>
        <w:rPr>
          <w:noProof/>
        </w:rPr>
        <w:lastRenderedPageBreak/>
        <mc:AlternateContent>
          <mc:Choice Requires="wps">
            <w:drawing>
              <wp:anchor distT="0" distB="0" distL="114300" distR="114300" simplePos="0" relativeHeight="251660288" behindDoc="0" locked="0" layoutInCell="1" allowOverlap="1" wp14:anchorId="3E679D7D" wp14:editId="28118C6B">
                <wp:simplePos x="0" y="0"/>
                <wp:positionH relativeFrom="margin">
                  <wp:posOffset>66675</wp:posOffset>
                </wp:positionH>
                <wp:positionV relativeFrom="paragraph">
                  <wp:posOffset>-400050</wp:posOffset>
                </wp:positionV>
                <wp:extent cx="4514851" cy="552450"/>
                <wp:effectExtent l="0" t="0" r="0" b="0"/>
                <wp:wrapNone/>
                <wp:docPr id="3138" name="Rectangle 66">
                  <a:extLst xmlns:a="http://schemas.openxmlformats.org/drawingml/2006/main">
                    <a:ext uri="{FF2B5EF4-FFF2-40B4-BE49-F238E27FC236}">
                      <a16:creationId xmlns:a16="http://schemas.microsoft.com/office/drawing/2014/main" id="{F82D0E91-89F8-438F-889F-7DBD6168B06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14851" cy="552450"/>
                        </a:xfrm>
                        <a:prstGeom prst="rect">
                          <a:avLst/>
                        </a:prstGeom>
                        <a:solidFill>
                          <a:srgbClr xmlns:a14="http://schemas.microsoft.com/office/drawing/2010/main" val="FFFFFF" mc:Ignorable="a14" a14:legacySpreadsheetColorIndex="65"/>
                        </a:solidFill>
                        <a:ln>
                          <a:noFill/>
                        </a:ln>
                        <a:extLst>
                          <a:ext uri="{91240B29-F687-4F45-9708-019B960494DF}">
                            <a14:hiddenLine xmlns:a14="http://schemas.microsoft.com/office/drawing/2010/main" w="28575">
                              <a:solidFill>
                                <a:srgbClr val="FF0000" mc:Ignorable="a14" a14:legacySpreadsheetColorIndex="10"/>
                              </a:solidFill>
                              <a:miter lim="800000"/>
                              <a:headEnd/>
                              <a:tailEnd/>
                            </a14:hiddenLine>
                          </a:ext>
                        </a:extLst>
                      </wps:spPr>
                      <wps:txbx>
                        <w:txbxContent>
                          <w:p w:rsidR="00C9150A" w:rsidRDefault="00C9150A" w:rsidP="00C9150A">
                            <w:pPr>
                              <w:pStyle w:val="Web"/>
                              <w:spacing w:before="0" w:beforeAutospacing="0" w:after="0" w:afterAutospacing="0"/>
                            </w:pPr>
                            <w:r>
                              <w:rPr>
                                <w:rFonts w:ascii="HGP創英角ﾎﾟｯﾌﾟ体" w:eastAsia="HGP創英角ﾎﾟｯﾌﾟ体" w:hAnsi="HGP創英角ﾎﾟｯﾌﾟ体" w:cstheme="minorBidi" w:hint="eastAsia"/>
                                <w:color w:val="000000"/>
                                <w:position w:val="1"/>
                                <w:sz w:val="56"/>
                                <w:szCs w:val="56"/>
                              </w:rPr>
                              <w:t xml:space="preserve">★　</w:t>
                            </w:r>
                            <w:r>
                              <w:rPr>
                                <w:rFonts w:ascii="HGP創英角ﾎﾟｯﾌﾟ体" w:eastAsia="HGP創英角ﾎﾟｯﾌﾟ体" w:hAnsi="HGP創英角ﾎﾟｯﾌﾟ体" w:cstheme="minorBidi" w:hint="eastAsia"/>
                                <w:color w:val="000000"/>
                                <w:position w:val="1"/>
                                <w:sz w:val="56"/>
                                <w:szCs w:val="56"/>
                              </w:rPr>
                              <w:t>「総括表」</w:t>
                            </w:r>
                            <w:r w:rsidR="00CB3A06">
                              <w:rPr>
                                <w:rFonts w:ascii="HGP創英角ﾎﾟｯﾌﾟ体" w:eastAsia="HGP創英角ﾎﾟｯﾌﾟ体" w:hAnsi="HGP創英角ﾎﾟｯﾌﾟ体" w:cstheme="minorBidi" w:hint="eastAsia"/>
                                <w:color w:val="000000"/>
                                <w:position w:val="1"/>
                                <w:sz w:val="56"/>
                                <w:szCs w:val="56"/>
                              </w:rPr>
                              <w:t>記入</w:t>
                            </w:r>
                            <w:r>
                              <w:rPr>
                                <w:rFonts w:ascii="HGP創英角ﾎﾟｯﾌﾟ体" w:eastAsia="HGP創英角ﾎﾟｯﾌﾟ体" w:hAnsi="HGP創英角ﾎﾟｯﾌﾟ体" w:cstheme="minorBidi" w:hint="eastAsia"/>
                                <w:color w:val="000000"/>
                                <w:position w:val="1"/>
                                <w:sz w:val="56"/>
                                <w:szCs w:val="56"/>
                              </w:rPr>
                              <w:t>例</w:t>
                            </w:r>
                          </w:p>
                        </w:txbxContent>
                      </wps:txbx>
                      <wps:bodyPr vertOverflow="clip" wrap="square" lIns="64008" tIns="32004" rIns="0" bIns="0" anchor="t" upright="1"/>
                    </wps:wsp>
                  </a:graphicData>
                </a:graphic>
              </wp:anchor>
            </w:drawing>
          </mc:Choice>
          <mc:Fallback>
            <w:pict>
              <v:rect w14:anchorId="3E679D7D" id="Rectangle 66" o:spid="_x0000_s1027" style="position:absolute;left:0;text-align:left;margin-left:5.25pt;margin-top:-31.5pt;width:355.5pt;height:43.5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" stroked="f" strokecolor="red" strokeweight="2.25pt">
                <v:textbox inset="5.04pt,2.52pt,0,0">
                  <w:txbxContent>
                    <w:p w:rsidR="00C9150A" w:rsidRDefault="00C9150A" w:rsidP="00C9150A">
                      <w:pPr>
                        <w:pStyle w:val="Web"/>
                        <w:spacing w:before="0" w:beforeAutospacing="0" w:after="0" w:afterAutospacing="0"/>
                      </w:pPr>
                      <w:r>
                        <w:rPr>
                          <w:rFonts w:ascii="HGP創英角ﾎﾟｯﾌﾟ体" w:eastAsia="HGP創英角ﾎﾟｯﾌﾟ体" w:hAnsi="HGP創英角ﾎﾟｯﾌﾟ体" w:cstheme="minorBidi" w:hint="eastAsia"/>
                          <w:color w:val="000000"/>
                          <w:position w:val="1"/>
                          <w:sz w:val="56"/>
                          <w:szCs w:val="56"/>
                        </w:rPr>
                        <w:t xml:space="preserve">★　</w:t>
                      </w:r>
                      <w:r>
                        <w:rPr>
                          <w:rFonts w:ascii="HGP創英角ﾎﾟｯﾌﾟ体" w:eastAsia="HGP創英角ﾎﾟｯﾌﾟ体" w:hAnsi="HGP創英角ﾎﾟｯﾌﾟ体" w:cstheme="minorBidi" w:hint="eastAsia"/>
                          <w:color w:val="000000"/>
                          <w:position w:val="1"/>
                          <w:sz w:val="56"/>
                          <w:szCs w:val="56"/>
                        </w:rPr>
                        <w:t>「総括表」</w:t>
                      </w:r>
                      <w:r w:rsidR="00CB3A06">
                        <w:rPr>
                          <w:rFonts w:ascii="HGP創英角ﾎﾟｯﾌﾟ体" w:eastAsia="HGP創英角ﾎﾟｯﾌﾟ体" w:hAnsi="HGP創英角ﾎﾟｯﾌﾟ体" w:cstheme="minorBidi" w:hint="eastAsia"/>
                          <w:color w:val="000000"/>
                          <w:position w:val="1"/>
                          <w:sz w:val="56"/>
                          <w:szCs w:val="56"/>
                        </w:rPr>
                        <w:t>記入</w:t>
                      </w:r>
                      <w:r>
                        <w:rPr>
                          <w:rFonts w:ascii="HGP創英角ﾎﾟｯﾌﾟ体" w:eastAsia="HGP創英角ﾎﾟｯﾌﾟ体" w:hAnsi="HGP創英角ﾎﾟｯﾌﾟ体" w:cstheme="minorBidi" w:hint="eastAsia"/>
                          <w:color w:val="000000"/>
                          <w:position w:val="1"/>
                          <w:sz w:val="56"/>
                          <w:szCs w:val="56"/>
                        </w:rPr>
                        <w:t>例</w:t>
                      </w:r>
                    </w:p>
                  </w:txbxContent>
                </v:textbox>
                <w10:wrap anchorx="margin"/>
              </v:rect>
            </w:pict>
          </mc:Fallback>
        </mc:AlternateContent>
      </w:r>
      <w:r w:rsidR="00C9150A" w:rsidRPr="00C9150A">
        <w:drawing>
          <wp:anchor distT="0" distB="0" distL="114300" distR="114300" simplePos="0" relativeHeight="251658240" behindDoc="0" locked="0" layoutInCell="1" allowOverlap="1">
            <wp:simplePos x="0" y="0"/>
            <wp:positionH relativeFrom="margin">
              <wp:align>left</wp:align>
            </wp:positionH>
            <wp:positionV relativeFrom="paragraph">
              <wp:posOffset>-283845</wp:posOffset>
            </wp:positionV>
            <wp:extent cx="6904990" cy="9601200"/>
            <wp:effectExtent l="0" t="0" r="0" b="0"/>
            <wp:wrapThrough wrapText="bothSides">
              <wp:wrapPolygon edited="0">
                <wp:start x="477" y="343"/>
                <wp:lineTo x="417" y="3171"/>
                <wp:lineTo x="119" y="3857"/>
                <wp:lineTo x="0" y="17443"/>
                <wp:lineTo x="0" y="20443"/>
                <wp:lineTo x="12514" y="21000"/>
                <wp:lineTo x="14898" y="21000"/>
                <wp:lineTo x="1132" y="21214"/>
                <wp:lineTo x="119" y="21214"/>
                <wp:lineTo x="119" y="21557"/>
                <wp:lineTo x="7807" y="21557"/>
                <wp:lineTo x="21513" y="21514"/>
                <wp:lineTo x="21513" y="17400"/>
                <wp:lineTo x="17341" y="16886"/>
                <wp:lineTo x="20321" y="16886"/>
                <wp:lineTo x="21393" y="16714"/>
                <wp:lineTo x="21393" y="15986"/>
                <wp:lineTo x="20023" y="15771"/>
                <wp:lineTo x="17341" y="15514"/>
                <wp:lineTo x="18235" y="15514"/>
                <wp:lineTo x="20440" y="15043"/>
                <wp:lineTo x="20380" y="14829"/>
                <wp:lineTo x="20917" y="14829"/>
                <wp:lineTo x="21393" y="14486"/>
                <wp:lineTo x="21453" y="12257"/>
                <wp:lineTo x="21155" y="12171"/>
                <wp:lineTo x="19606" y="12086"/>
                <wp:lineTo x="21513" y="11571"/>
                <wp:lineTo x="21513" y="3729"/>
                <wp:lineTo x="21155" y="3600"/>
                <wp:lineTo x="18950" y="3171"/>
                <wp:lineTo x="19189" y="2657"/>
                <wp:lineTo x="19189" y="1800"/>
                <wp:lineTo x="19904" y="1800"/>
                <wp:lineTo x="20202" y="1586"/>
                <wp:lineTo x="20142" y="1114"/>
                <wp:lineTo x="19427" y="600"/>
                <wp:lineTo x="19189" y="343"/>
                <wp:lineTo x="477" y="343"/>
              </wp:wrapPolygon>
            </wp:wrapThrough>
            <wp:docPr id="192" name="図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04990" cy="9601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9150A" w:rsidRDefault="00C9150A"/>
    <w:p w:rsidR="00C9150A" w:rsidRDefault="00CB3A06">
      <w:r>
        <w:rPr>
          <w:noProof/>
        </w:rPr>
        <w:lastRenderedPageBreak/>
        <mc:AlternateContent>
          <mc:Choice Requires="wps">
            <w:drawing>
              <wp:anchor distT="0" distB="0" distL="114300" distR="114300" simplePos="0" relativeHeight="251664384" behindDoc="0" locked="0" layoutInCell="1" allowOverlap="1" wp14:anchorId="130DE0C9" wp14:editId="16752AA1">
                <wp:simplePos x="0" y="0"/>
                <wp:positionH relativeFrom="margin">
                  <wp:align>left</wp:align>
                </wp:positionH>
                <wp:positionV relativeFrom="paragraph">
                  <wp:posOffset>-381000</wp:posOffset>
                </wp:positionV>
                <wp:extent cx="4514850" cy="552450"/>
                <wp:effectExtent l="0" t="0" r="0" b="0"/>
                <wp:wrapNone/>
                <wp:docPr id="195" name="Rectangle 66">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14850" cy="552450"/>
                        </a:xfrm>
                        <a:prstGeom prst="rect">
                          <a:avLst/>
                        </a:prstGeom>
                        <a:solidFill>
                          <a:srgbClr xmlns:a14="http://schemas.microsoft.com/office/drawing/2010/main" val="FFFFFF" mc:Ignorable="a14" a14:legacySpreadsheetColorIndex="65"/>
                        </a:solidFill>
                        <a:ln>
                          <a:noFill/>
                        </a:ln>
                        <a:extLst>
                          <a:ext uri="{91240B29-F687-4F45-9708-019B960494DF}">
                            <a14:hiddenLine xmlns:a14="http://schemas.microsoft.com/office/drawing/2010/main" w="28575">
                              <a:solidFill>
                                <a:srgbClr val="FF0000" mc:Ignorable="a14" a14:legacySpreadsheetColorIndex="10"/>
                              </a:solidFill>
                              <a:miter lim="800000"/>
                              <a:headEnd/>
                              <a:tailEnd/>
                            </a14:hiddenLine>
                          </a:ext>
                        </a:extLst>
                      </wps:spPr>
                      <wps:txbx>
                        <w:txbxContent>
                          <w:p w:rsidR="00CB3A06" w:rsidRDefault="00CB3A06" w:rsidP="00CB3A06">
                            <w:pPr>
                              <w:pStyle w:val="Web"/>
                              <w:spacing w:before="0" w:beforeAutospacing="0" w:after="0" w:afterAutospacing="0"/>
                            </w:pPr>
                            <w:r>
                              <w:rPr>
                                <w:rFonts w:ascii="HGP創英角ﾎﾟｯﾌﾟ体" w:eastAsia="HGP創英角ﾎﾟｯﾌﾟ体" w:hAnsi="HGP創英角ﾎﾟｯﾌﾟ体" w:cstheme="minorBidi" w:hint="eastAsia"/>
                                <w:color w:val="000000"/>
                                <w:position w:val="1"/>
                                <w:sz w:val="56"/>
                                <w:szCs w:val="56"/>
                              </w:rPr>
                              <w:t>★　「</w:t>
                            </w:r>
                            <w:r>
                              <w:rPr>
                                <w:rFonts w:ascii="HGP創英角ﾎﾟｯﾌﾟ体" w:eastAsia="HGP創英角ﾎﾟｯﾌﾟ体" w:hAnsi="HGP創英角ﾎﾟｯﾌﾟ体" w:cstheme="minorBidi" w:hint="eastAsia"/>
                                <w:color w:val="000000"/>
                                <w:position w:val="1"/>
                                <w:sz w:val="56"/>
                                <w:szCs w:val="56"/>
                              </w:rPr>
                              <w:t>報告書</w:t>
                            </w:r>
                            <w:r>
                              <w:rPr>
                                <w:rFonts w:ascii="HGP創英角ﾎﾟｯﾌﾟ体" w:eastAsia="HGP創英角ﾎﾟｯﾌﾟ体" w:hAnsi="HGP創英角ﾎﾟｯﾌﾟ体" w:cstheme="minorBidi" w:hint="eastAsia"/>
                                <w:color w:val="000000"/>
                                <w:position w:val="1"/>
                                <w:sz w:val="56"/>
                                <w:szCs w:val="56"/>
                              </w:rPr>
                              <w:t>」</w:t>
                            </w:r>
                            <w:r>
                              <w:rPr>
                                <w:rFonts w:ascii="HGP創英角ﾎﾟｯﾌﾟ体" w:eastAsia="HGP創英角ﾎﾟｯﾌﾟ体" w:hAnsi="HGP創英角ﾎﾟｯﾌﾟ体" w:cstheme="minorBidi" w:hint="eastAsia"/>
                                <w:color w:val="000000"/>
                                <w:position w:val="1"/>
                                <w:sz w:val="56"/>
                                <w:szCs w:val="56"/>
                              </w:rPr>
                              <w:t>記入</w:t>
                            </w:r>
                            <w:r>
                              <w:rPr>
                                <w:rFonts w:ascii="HGP創英角ﾎﾟｯﾌﾟ体" w:eastAsia="HGP創英角ﾎﾟｯﾌﾟ体" w:hAnsi="HGP創英角ﾎﾟｯﾌﾟ体" w:cstheme="minorBidi" w:hint="eastAsia"/>
                                <w:color w:val="000000"/>
                                <w:position w:val="1"/>
                                <w:sz w:val="56"/>
                                <w:szCs w:val="56"/>
                              </w:rPr>
                              <w:t>例</w:t>
                            </w:r>
                          </w:p>
                        </w:txbxContent>
                      </wps:txbx>
                      <wps:bodyPr vertOverflow="clip" wrap="square" lIns="64008" tIns="32004" rIns="0" bIns="0" anchor="t" upright="1"/>
                    </wps:wsp>
                  </a:graphicData>
                </a:graphic>
              </wp:anchor>
            </w:drawing>
          </mc:Choice>
          <mc:Fallback>
            <w:pict>
              <v:rect w14:anchorId="130DE0C9" id="_x0000_s1028" style="position:absolute;left:0;text-align:left;margin-left:0;margin-top:-30pt;width:355.5pt;height:43.5pt;z-index:25166438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" stroked="f" strokecolor="red" strokeweight="2.25pt">
                <v:textbox inset="5.04pt,2.52pt,0,0">
                  <w:txbxContent>
                    <w:p w:rsidR="00CB3A06" w:rsidRDefault="00CB3A06" w:rsidP="00CB3A06">
                      <w:pPr>
                        <w:pStyle w:val="Web"/>
                        <w:spacing w:before="0" w:beforeAutospacing="0" w:after="0" w:afterAutospacing="0"/>
                      </w:pPr>
                      <w:r>
                        <w:rPr>
                          <w:rFonts w:ascii="HGP創英角ﾎﾟｯﾌﾟ体" w:eastAsia="HGP創英角ﾎﾟｯﾌﾟ体" w:hAnsi="HGP創英角ﾎﾟｯﾌﾟ体" w:cstheme="minorBidi" w:hint="eastAsia"/>
                          <w:color w:val="000000"/>
                          <w:position w:val="1"/>
                          <w:sz w:val="56"/>
                          <w:szCs w:val="56"/>
                        </w:rPr>
                        <w:t>★　「</w:t>
                      </w:r>
                      <w:r>
                        <w:rPr>
                          <w:rFonts w:ascii="HGP創英角ﾎﾟｯﾌﾟ体" w:eastAsia="HGP創英角ﾎﾟｯﾌﾟ体" w:hAnsi="HGP創英角ﾎﾟｯﾌﾟ体" w:cstheme="minorBidi" w:hint="eastAsia"/>
                          <w:color w:val="000000"/>
                          <w:position w:val="1"/>
                          <w:sz w:val="56"/>
                          <w:szCs w:val="56"/>
                        </w:rPr>
                        <w:t>報告書</w:t>
                      </w:r>
                      <w:r>
                        <w:rPr>
                          <w:rFonts w:ascii="HGP創英角ﾎﾟｯﾌﾟ体" w:eastAsia="HGP創英角ﾎﾟｯﾌﾟ体" w:hAnsi="HGP創英角ﾎﾟｯﾌﾟ体" w:cstheme="minorBidi" w:hint="eastAsia"/>
                          <w:color w:val="000000"/>
                          <w:position w:val="1"/>
                          <w:sz w:val="56"/>
                          <w:szCs w:val="56"/>
                        </w:rPr>
                        <w:t>」</w:t>
                      </w:r>
                      <w:r>
                        <w:rPr>
                          <w:rFonts w:ascii="HGP創英角ﾎﾟｯﾌﾟ体" w:eastAsia="HGP創英角ﾎﾟｯﾌﾟ体" w:hAnsi="HGP創英角ﾎﾟｯﾌﾟ体" w:cstheme="minorBidi" w:hint="eastAsia"/>
                          <w:color w:val="000000"/>
                          <w:position w:val="1"/>
                          <w:sz w:val="56"/>
                          <w:szCs w:val="56"/>
                        </w:rPr>
                        <w:t>記入</w:t>
                      </w:r>
                      <w:r>
                        <w:rPr>
                          <w:rFonts w:ascii="HGP創英角ﾎﾟｯﾌﾟ体" w:eastAsia="HGP創英角ﾎﾟｯﾌﾟ体" w:hAnsi="HGP創英角ﾎﾟｯﾌﾟ体" w:cstheme="minorBidi" w:hint="eastAsia"/>
                          <w:color w:val="000000"/>
                          <w:position w:val="1"/>
                          <w:sz w:val="56"/>
                          <w:szCs w:val="56"/>
                        </w:rPr>
                        <w:t>例</w:t>
                      </w:r>
                    </w:p>
                  </w:txbxContent>
                </v:textbox>
                <w10:wrap anchorx="margin"/>
              </v:rect>
            </w:pict>
          </mc:Fallback>
        </mc:AlternateContent>
      </w:r>
      <w:r w:rsidRPr="00CB3A06">
        <w:drawing>
          <wp:anchor distT="0" distB="0" distL="114300" distR="114300" simplePos="0" relativeHeight="251662336" behindDoc="0" locked="0" layoutInCell="1" allowOverlap="1">
            <wp:simplePos x="0" y="0"/>
            <wp:positionH relativeFrom="column">
              <wp:posOffset>114300</wp:posOffset>
            </wp:positionH>
            <wp:positionV relativeFrom="paragraph">
              <wp:posOffset>4971415</wp:posOffset>
            </wp:positionV>
            <wp:extent cx="6645910" cy="4803421"/>
            <wp:effectExtent l="0" t="0" r="2540" b="0"/>
            <wp:wrapThrough wrapText="bothSides">
              <wp:wrapPolygon edited="0">
                <wp:start x="0" y="0"/>
                <wp:lineTo x="0" y="21503"/>
                <wp:lineTo x="21546" y="21503"/>
                <wp:lineTo x="21546" y="0"/>
                <wp:lineTo x="0" y="0"/>
              </wp:wrapPolygon>
            </wp:wrapThrough>
            <wp:docPr id="194" name="図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4803421"/>
                    </a:xfrm>
                    <a:prstGeom prst="rect">
                      <a:avLst/>
                    </a:prstGeom>
                    <a:noFill/>
                    <a:ln>
                      <a:noFill/>
                    </a:ln>
                  </pic:spPr>
                </pic:pic>
              </a:graphicData>
            </a:graphic>
          </wp:anchor>
        </w:drawing>
      </w:r>
      <w:r w:rsidR="00CA54EE" w:rsidRPr="00CA54EE">
        <w:drawing>
          <wp:anchor distT="0" distB="0" distL="114300" distR="114300" simplePos="0" relativeHeight="251661312" behindDoc="0" locked="0" layoutInCell="1" allowOverlap="1">
            <wp:simplePos x="0" y="0"/>
            <wp:positionH relativeFrom="column">
              <wp:posOffset>123825</wp:posOffset>
            </wp:positionH>
            <wp:positionV relativeFrom="paragraph">
              <wp:posOffset>190500</wp:posOffset>
            </wp:positionV>
            <wp:extent cx="6645910" cy="4721010"/>
            <wp:effectExtent l="0" t="0" r="2540" b="3810"/>
            <wp:wrapThrough wrapText="bothSides">
              <wp:wrapPolygon edited="0">
                <wp:start x="0" y="0"/>
                <wp:lineTo x="0" y="21530"/>
                <wp:lineTo x="21546" y="21530"/>
                <wp:lineTo x="21546" y="0"/>
                <wp:lineTo x="0" y="0"/>
              </wp:wrapPolygon>
            </wp:wrapThrough>
            <wp:docPr id="193" name="図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910" cy="47210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32D9F" w:rsidRDefault="00932D9F" w:rsidP="00932D9F">
      <w:pPr>
        <w:jc w:val="center"/>
        <w:rPr>
          <w:rFonts w:ascii="HG丸ｺﾞｼｯｸM-PRO" w:eastAsia="HG丸ｺﾞｼｯｸM-PRO" w:hAnsi="HG丸ｺﾞｼｯｸM-PRO" w:cstheme="majorHAnsi"/>
          <w:b/>
          <w:kern w:val="0"/>
          <w:sz w:val="24"/>
        </w:rPr>
      </w:pPr>
    </w:p>
    <w:p w:rsidR="00932D9F" w:rsidRDefault="00932D9F" w:rsidP="00932D9F">
      <w:pPr>
        <w:jc w:val="center"/>
        <w:rPr>
          <w:rFonts w:ascii="HG丸ｺﾞｼｯｸM-PRO" w:eastAsia="HG丸ｺﾞｼｯｸM-PRO" w:hAnsi="HG丸ｺﾞｼｯｸM-PRO" w:cstheme="majorHAnsi"/>
          <w:b/>
          <w:kern w:val="0"/>
          <w:sz w:val="24"/>
        </w:rPr>
      </w:pPr>
      <w:r w:rsidRPr="00A71830">
        <w:rPr>
          <w:rFonts w:ascii="HG丸ｺﾞｼｯｸM-PRO" w:eastAsia="HG丸ｺﾞｼｯｸM-PRO" w:hAnsi="HG丸ｺﾞｼｯｸM-PRO" w:cstheme="majorHAnsi" w:hint="eastAsia"/>
          <w:b/>
          <w:kern w:val="0"/>
          <w:sz w:val="24"/>
        </w:rPr>
        <w:t>「建設の事業」</w:t>
      </w:r>
      <w:r>
        <w:rPr>
          <w:rFonts w:ascii="HG丸ｺﾞｼｯｸM-PRO" w:eastAsia="HG丸ｺﾞｼｯｸM-PRO" w:hAnsi="HG丸ｺﾞｼｯｸM-PRO" w:cstheme="majorHAnsi" w:hint="eastAsia"/>
          <w:b/>
          <w:kern w:val="0"/>
          <w:sz w:val="24"/>
        </w:rPr>
        <w:t>にかかる</w:t>
      </w:r>
      <w:r w:rsidRPr="00A71830">
        <w:rPr>
          <w:rFonts w:ascii="HG丸ｺﾞｼｯｸM-PRO" w:eastAsia="HG丸ｺﾞｼｯｸM-PRO" w:hAnsi="HG丸ｺﾞｼｯｸM-PRO" w:cstheme="majorHAnsi" w:hint="eastAsia"/>
          <w:b/>
          <w:kern w:val="0"/>
          <w:sz w:val="24"/>
        </w:rPr>
        <w:t>事業の種類について</w:t>
      </w:r>
    </w:p>
    <w:p w:rsidR="00932D9F" w:rsidRDefault="00932D9F" w:rsidP="00932D9F">
      <w:pPr>
        <w:jc w:val="center"/>
        <w:rPr>
          <w:rFonts w:ascii="HG丸ｺﾞｼｯｸM-PRO" w:eastAsia="HG丸ｺﾞｼｯｸM-PRO" w:hAnsi="HG丸ｺﾞｼｯｸM-PRO" w:cstheme="majorHAnsi" w:hint="eastAsia"/>
          <w:b/>
          <w:sz w:val="24"/>
        </w:rPr>
      </w:pPr>
    </w:p>
    <w:p w:rsidR="00932D9F" w:rsidRPr="002974AC" w:rsidRDefault="00932D9F" w:rsidP="00932D9F">
      <w:pPr>
        <w:spacing w:line="320" w:lineRule="exact"/>
        <w:rPr>
          <w:rFonts w:ascii="HG丸ｺﾞｼｯｸM-PRO" w:eastAsia="HG丸ｺﾞｼｯｸM-PRO" w:hAnsi="HG丸ｺﾞｼｯｸM-PRO" w:cstheme="majorHAnsi"/>
          <w:b/>
          <w:sz w:val="22"/>
        </w:rPr>
      </w:pPr>
    </w:p>
    <w:p w:rsidR="00932D9F" w:rsidRPr="002974AC" w:rsidRDefault="00932D9F" w:rsidP="00932D9F">
      <w:pPr>
        <w:spacing w:line="320" w:lineRule="exact"/>
        <w:rPr>
          <w:rFonts w:ascii="HG丸ｺﾞｼｯｸM-PRO" w:eastAsia="HG丸ｺﾞｼｯｸM-PRO" w:hAnsi="HG丸ｺﾞｼｯｸM-PRO" w:cstheme="majorHAnsi"/>
          <w:b/>
          <w:sz w:val="22"/>
        </w:rPr>
      </w:pPr>
      <w:r w:rsidRPr="002974AC">
        <w:rPr>
          <w:rFonts w:ascii="HG丸ｺﾞｼｯｸM-PRO" w:eastAsia="HG丸ｺﾞｼｯｸM-PRO" w:hAnsi="HG丸ｺﾞｼｯｸM-PRO" w:cstheme="majorHAnsi" w:hint="eastAsia"/>
          <w:b/>
          <w:sz w:val="22"/>
        </w:rPr>
        <w:t>【例1】道路新設事業に伴う舗装工事</w:t>
      </w:r>
    </w:p>
    <w:p w:rsidR="00932D9F" w:rsidRPr="002974AC" w:rsidRDefault="00932D9F" w:rsidP="00932D9F">
      <w:pPr>
        <w:spacing w:afterLines="20" w:after="72" w:line="320" w:lineRule="exact"/>
        <w:rPr>
          <w:rFonts w:ascii="HG丸ｺﾞｼｯｸM-PRO" w:eastAsia="HG丸ｺﾞｼｯｸM-PRO" w:hAnsi="HG丸ｺﾞｼｯｸM-PRO" w:cstheme="majorHAnsi"/>
          <w:sz w:val="20"/>
        </w:rPr>
      </w:pPr>
      <w:r w:rsidRPr="002974AC">
        <w:rPr>
          <w:rFonts w:ascii="HG丸ｺﾞｼｯｸM-PRO" w:eastAsia="HG丸ｺﾞｼｯｸM-PRO" w:hAnsi="HG丸ｺﾞｼｯｸM-PRO" w:cstheme="majorHAnsi" w:hint="eastAsia"/>
          <w:sz w:val="20"/>
        </w:rPr>
        <w:t xml:space="preserve">　道路を新設あるいは既存の道路幅を拡張する工事は「道路の新設に関する事業…（3201）」となりますが。これに伴う舗装工事業は、同一契約内であれば「3201」に含め、別発注による契約であれば「ほ装工事業（3301）」になります。</w:t>
      </w:r>
    </w:p>
    <w:p w:rsidR="00932D9F" w:rsidRPr="002974AC" w:rsidRDefault="00932D9F" w:rsidP="00932D9F">
      <w:pPr>
        <w:spacing w:afterLines="20" w:after="72" w:line="320" w:lineRule="exact"/>
        <w:rPr>
          <w:rFonts w:ascii="HG丸ｺﾞｼｯｸM-PRO" w:eastAsia="HG丸ｺﾞｼｯｸM-PRO" w:hAnsi="HG丸ｺﾞｼｯｸM-PRO" w:cstheme="majorHAnsi"/>
          <w:sz w:val="20"/>
        </w:rPr>
      </w:pPr>
    </w:p>
    <w:p w:rsidR="00932D9F" w:rsidRPr="002974AC" w:rsidRDefault="00932D9F" w:rsidP="00932D9F">
      <w:pPr>
        <w:spacing w:line="320" w:lineRule="exact"/>
        <w:rPr>
          <w:rFonts w:ascii="HG丸ｺﾞｼｯｸM-PRO" w:eastAsia="HG丸ｺﾞｼｯｸM-PRO" w:hAnsi="HG丸ｺﾞｼｯｸM-PRO" w:cstheme="majorHAnsi"/>
          <w:b/>
          <w:sz w:val="22"/>
        </w:rPr>
      </w:pPr>
      <w:r w:rsidRPr="002974AC">
        <w:rPr>
          <w:rFonts w:ascii="HG丸ｺﾞｼｯｸM-PRO" w:eastAsia="HG丸ｺﾞｼｯｸM-PRO" w:hAnsi="HG丸ｺﾞｼｯｸM-PRO" w:cstheme="majorHAnsi" w:hint="eastAsia"/>
          <w:b/>
          <w:sz w:val="22"/>
        </w:rPr>
        <w:t>【例2】エレベーター付建築工事</w:t>
      </w:r>
    </w:p>
    <w:p w:rsidR="00932D9F" w:rsidRPr="002974AC" w:rsidRDefault="00932D9F" w:rsidP="00932D9F">
      <w:pPr>
        <w:spacing w:afterLines="20" w:after="72" w:line="320" w:lineRule="exact"/>
        <w:rPr>
          <w:rFonts w:ascii="HG丸ｺﾞｼｯｸM-PRO" w:eastAsia="HG丸ｺﾞｼｯｸM-PRO" w:hAnsi="HG丸ｺﾞｼｯｸM-PRO" w:cstheme="majorHAnsi"/>
          <w:sz w:val="20"/>
        </w:rPr>
      </w:pPr>
      <w:r w:rsidRPr="002974AC">
        <w:rPr>
          <w:rFonts w:ascii="HG丸ｺﾞｼｯｸM-PRO" w:eastAsia="HG丸ｺﾞｼｯｸM-PRO" w:hAnsi="HG丸ｺﾞｼｯｸM-PRO" w:cstheme="majorHAnsi" w:hint="eastAsia"/>
          <w:sz w:val="20"/>
        </w:rPr>
        <w:t xml:space="preserve">　立体駐車場など建屋の建築部分は「その他の建築事業（3506）」に分類されますが、自動車をオート格納するエレベーター、コンベア装置等は除外事業として「各種機械装置の組立て又はすえ付けの事業（3601）」に分類して算定することとなります。</w:t>
      </w:r>
    </w:p>
    <w:p w:rsidR="00932D9F" w:rsidRPr="002974AC" w:rsidRDefault="00932D9F" w:rsidP="00932D9F">
      <w:pPr>
        <w:spacing w:afterLines="20" w:after="72" w:line="320" w:lineRule="exact"/>
        <w:ind w:firstLineChars="100" w:firstLine="200"/>
        <w:rPr>
          <w:rFonts w:ascii="HG丸ｺﾞｼｯｸM-PRO" w:eastAsia="HG丸ｺﾞｼｯｸM-PRO" w:hAnsi="HG丸ｺﾞｼｯｸM-PRO" w:cstheme="majorHAnsi"/>
          <w:sz w:val="20"/>
        </w:rPr>
      </w:pPr>
      <w:r w:rsidRPr="002974AC">
        <w:rPr>
          <w:rFonts w:ascii="HG丸ｺﾞｼｯｸM-PRO" w:eastAsia="HG丸ｺﾞｼｯｸM-PRO" w:hAnsi="HG丸ｺﾞｼｯｸM-PRO" w:cstheme="majorHAnsi" w:hint="eastAsia"/>
          <w:sz w:val="20"/>
        </w:rPr>
        <w:t>このため上記のような工事を受注した事業者は「3506」を主たる事業としつつ、契約書等をもとに「3601」を区別し二本立てで計算のうえ申告することとなります。</w:t>
      </w:r>
    </w:p>
    <w:p w:rsidR="00932D9F" w:rsidRPr="002974AC" w:rsidRDefault="00932D9F" w:rsidP="00932D9F">
      <w:pPr>
        <w:spacing w:afterLines="20" w:after="72" w:line="320" w:lineRule="exact"/>
        <w:ind w:firstLineChars="100" w:firstLine="200"/>
        <w:rPr>
          <w:rFonts w:ascii="HG丸ｺﾞｼｯｸM-PRO" w:eastAsia="HG丸ｺﾞｼｯｸM-PRO" w:hAnsi="HG丸ｺﾞｼｯｸM-PRO" w:cstheme="majorHAnsi"/>
          <w:sz w:val="20"/>
        </w:rPr>
      </w:pPr>
    </w:p>
    <w:p w:rsidR="00932D9F" w:rsidRPr="002974AC" w:rsidRDefault="00932D9F" w:rsidP="00932D9F">
      <w:pPr>
        <w:spacing w:line="320" w:lineRule="exact"/>
        <w:rPr>
          <w:rFonts w:ascii="HG丸ｺﾞｼｯｸM-PRO" w:eastAsia="HG丸ｺﾞｼｯｸM-PRO" w:hAnsi="HG丸ｺﾞｼｯｸM-PRO" w:cstheme="majorHAnsi"/>
          <w:b/>
          <w:sz w:val="22"/>
        </w:rPr>
      </w:pPr>
      <w:r w:rsidRPr="002974AC">
        <w:rPr>
          <w:rFonts w:ascii="HG丸ｺﾞｼｯｸM-PRO" w:eastAsia="HG丸ｺﾞｼｯｸM-PRO" w:hAnsi="HG丸ｺﾞｼｯｸM-PRO" w:cstheme="majorHAnsi" w:hint="eastAsia"/>
          <w:b/>
          <w:sz w:val="22"/>
        </w:rPr>
        <w:t>【例3】古民家移築のための解体工事</w:t>
      </w:r>
    </w:p>
    <w:p w:rsidR="00932D9F" w:rsidRPr="002974AC" w:rsidRDefault="00932D9F" w:rsidP="00932D9F">
      <w:pPr>
        <w:spacing w:afterLines="20" w:after="72" w:line="320" w:lineRule="exact"/>
        <w:ind w:firstLineChars="100" w:firstLine="200"/>
        <w:rPr>
          <w:rFonts w:ascii="HG丸ｺﾞｼｯｸM-PRO" w:eastAsia="HG丸ｺﾞｼｯｸM-PRO" w:hAnsi="HG丸ｺﾞｼｯｸM-PRO" w:cstheme="majorHAnsi"/>
          <w:sz w:val="20"/>
        </w:rPr>
      </w:pPr>
      <w:r w:rsidRPr="002974AC">
        <w:rPr>
          <w:rFonts w:ascii="HG丸ｺﾞｼｯｸM-PRO" w:eastAsia="HG丸ｺﾞｼｯｸM-PRO" w:hAnsi="HG丸ｺﾞｼｯｸM-PRO" w:cstheme="majorHAnsi" w:hint="eastAsia"/>
          <w:sz w:val="20"/>
        </w:rPr>
        <w:t xml:space="preserve">　移築等を目的に、工作物に使われる部材等を再利用するために分解する工事は「工作物の解体（3505）」に分類します。一方、原形をとどめないほど破壊し産業廃棄物として解体する場合は「工作物の解体事業（3716）」に分類します。</w:t>
      </w:r>
    </w:p>
    <w:p w:rsidR="00932D9F" w:rsidRPr="002974AC" w:rsidRDefault="00932D9F" w:rsidP="00932D9F">
      <w:pPr>
        <w:spacing w:afterLines="20" w:after="72" w:line="320" w:lineRule="exact"/>
        <w:ind w:firstLineChars="100" w:firstLine="200"/>
        <w:rPr>
          <w:rFonts w:ascii="HG丸ｺﾞｼｯｸM-PRO" w:eastAsia="HG丸ｺﾞｼｯｸM-PRO" w:hAnsi="HG丸ｺﾞｼｯｸM-PRO" w:cstheme="majorHAnsi"/>
          <w:sz w:val="20"/>
        </w:rPr>
      </w:pPr>
    </w:p>
    <w:p w:rsidR="00932D9F" w:rsidRPr="002974AC" w:rsidRDefault="00932D9F" w:rsidP="00932D9F">
      <w:pPr>
        <w:spacing w:line="320" w:lineRule="exact"/>
        <w:rPr>
          <w:rFonts w:ascii="HG丸ｺﾞｼｯｸM-PRO" w:eastAsia="HG丸ｺﾞｼｯｸM-PRO" w:hAnsi="HG丸ｺﾞｼｯｸM-PRO" w:cstheme="majorHAnsi"/>
          <w:b/>
          <w:sz w:val="22"/>
        </w:rPr>
      </w:pPr>
      <w:r w:rsidRPr="002974AC">
        <w:rPr>
          <w:rFonts w:ascii="HG丸ｺﾞｼｯｸM-PRO" w:eastAsia="HG丸ｺﾞｼｯｸM-PRO" w:hAnsi="HG丸ｺﾞｼｯｸM-PRO" w:cstheme="majorHAnsi" w:hint="eastAsia"/>
          <w:b/>
          <w:sz w:val="22"/>
        </w:rPr>
        <w:t>【例4】外壁塗装工事等</w:t>
      </w:r>
    </w:p>
    <w:p w:rsidR="00932D9F" w:rsidRPr="002974AC" w:rsidRDefault="00932D9F" w:rsidP="00932D9F">
      <w:pPr>
        <w:spacing w:afterLines="20" w:after="72" w:line="320" w:lineRule="exact"/>
        <w:ind w:firstLineChars="100" w:firstLine="200"/>
        <w:rPr>
          <w:rFonts w:ascii="HG丸ｺﾞｼｯｸM-PRO" w:eastAsia="HG丸ｺﾞｼｯｸM-PRO" w:hAnsi="HG丸ｺﾞｼｯｸM-PRO" w:cstheme="majorHAnsi"/>
          <w:sz w:val="20"/>
        </w:rPr>
      </w:pPr>
      <w:r w:rsidRPr="002974AC">
        <w:rPr>
          <w:rFonts w:ascii="HG丸ｺﾞｼｯｸM-PRO" w:eastAsia="HG丸ｺﾞｼｯｸM-PRO" w:hAnsi="HG丸ｺﾞｼｯｸM-PRO" w:cstheme="majorHAnsi" w:hint="eastAsia"/>
          <w:sz w:val="20"/>
        </w:rPr>
        <w:t>既設建築物であっても屋外における塗装工事を行う場合は、足場や脚立を設置したうえでの高所作業を伴うことから「その他の建築事業（3506）」に分類します。屋根の葺き替え工事なども同様に「3506」に分類します。</w:t>
      </w:r>
    </w:p>
    <w:p w:rsidR="00932D9F" w:rsidRPr="002974AC" w:rsidRDefault="00932D9F" w:rsidP="00932D9F">
      <w:pPr>
        <w:spacing w:afterLines="20" w:after="72" w:line="320" w:lineRule="exact"/>
        <w:ind w:firstLineChars="100" w:firstLine="200"/>
        <w:rPr>
          <w:rFonts w:ascii="HG丸ｺﾞｼｯｸM-PRO" w:eastAsia="HG丸ｺﾞｼｯｸM-PRO" w:hAnsi="HG丸ｺﾞｼｯｸM-PRO" w:cstheme="majorHAnsi"/>
          <w:sz w:val="20"/>
        </w:rPr>
      </w:pPr>
      <w:r w:rsidRPr="002974AC">
        <w:rPr>
          <w:rFonts w:ascii="HG丸ｺﾞｼｯｸM-PRO" w:eastAsia="HG丸ｺﾞｼｯｸM-PRO" w:hAnsi="HG丸ｺﾞｼｯｸM-PRO" w:cstheme="majorHAnsi" w:hint="eastAsia"/>
          <w:sz w:val="20"/>
        </w:rPr>
        <w:t>また既設建築物の主として建物内部における各種設備工事は「38」に分類されますが、建築物の新設に伴う場合はたとえ別発注であったとしても「35」に分類されますので注意が必要です。</w:t>
      </w:r>
    </w:p>
    <w:p w:rsidR="00932D9F" w:rsidRPr="002974AC" w:rsidRDefault="00932D9F" w:rsidP="00932D9F">
      <w:pPr>
        <w:spacing w:afterLines="20" w:after="72" w:line="320" w:lineRule="exact"/>
        <w:ind w:firstLineChars="100" w:firstLine="200"/>
        <w:rPr>
          <w:rFonts w:ascii="HG丸ｺﾞｼｯｸM-PRO" w:eastAsia="HG丸ｺﾞｼｯｸM-PRO" w:hAnsi="HG丸ｺﾞｼｯｸM-PRO" w:cstheme="majorHAnsi"/>
          <w:sz w:val="20"/>
        </w:rPr>
      </w:pPr>
    </w:p>
    <w:p w:rsidR="00932D9F" w:rsidRPr="002974AC" w:rsidRDefault="00932D9F" w:rsidP="00932D9F">
      <w:pPr>
        <w:spacing w:line="320" w:lineRule="exact"/>
        <w:rPr>
          <w:rFonts w:ascii="HG丸ｺﾞｼｯｸM-PRO" w:eastAsia="HG丸ｺﾞｼｯｸM-PRO" w:hAnsi="HG丸ｺﾞｼｯｸM-PRO" w:cstheme="majorHAnsi"/>
          <w:b/>
          <w:sz w:val="22"/>
        </w:rPr>
      </w:pPr>
      <w:r w:rsidRPr="002974AC">
        <w:rPr>
          <w:rFonts w:ascii="HG丸ｺﾞｼｯｸM-PRO" w:eastAsia="HG丸ｺﾞｼｯｸM-PRO" w:hAnsi="HG丸ｺﾞｼｯｸM-PRO" w:cstheme="majorHAnsi" w:hint="eastAsia"/>
          <w:b/>
          <w:sz w:val="22"/>
        </w:rPr>
        <w:t>【例5】原子力発電所における定期点検工事</w:t>
      </w:r>
    </w:p>
    <w:p w:rsidR="00932D9F" w:rsidRDefault="00932D9F" w:rsidP="00932D9F">
      <w:pPr>
        <w:spacing w:afterLines="20" w:after="72" w:line="320" w:lineRule="exact"/>
        <w:ind w:firstLineChars="100" w:firstLine="200"/>
        <w:rPr>
          <w:rFonts w:ascii="HG丸ｺﾞｼｯｸM-PRO" w:eastAsia="HG丸ｺﾞｼｯｸM-PRO" w:hAnsi="HG丸ｺﾞｼｯｸM-PRO" w:cstheme="majorHAnsi"/>
          <w:sz w:val="20"/>
        </w:rPr>
      </w:pPr>
      <w:r w:rsidRPr="002974AC">
        <w:rPr>
          <w:rFonts w:ascii="HG丸ｺﾞｼｯｸM-PRO" w:eastAsia="HG丸ｺﾞｼｯｸM-PRO" w:hAnsi="HG丸ｺﾞｼｯｸM-PRO" w:cstheme="majorHAnsi" w:hint="eastAsia"/>
          <w:sz w:val="20"/>
        </w:rPr>
        <w:t xml:space="preserve">　労働保険の適用上、原子炉本体や原子力発電所タービンは機械装置に位置付けられており、かかる本体、付属装置、付属品の取替・修繕は「各種機械装置の組立て又はすえ付けの事業（3601）」に、建設業の様態がない（足場の有無等により判断）小規模の修理は「製造業（5601）」に、単なる保守点検は「9416」に分類します。</w:t>
      </w:r>
    </w:p>
    <w:p w:rsidR="00932D9F" w:rsidRPr="002974AC" w:rsidRDefault="00932D9F" w:rsidP="00932D9F">
      <w:pPr>
        <w:spacing w:afterLines="20" w:after="72" w:line="320" w:lineRule="exact"/>
        <w:ind w:firstLineChars="100" w:firstLine="200"/>
        <w:rPr>
          <w:rFonts w:ascii="HG丸ｺﾞｼｯｸM-PRO" w:eastAsia="HG丸ｺﾞｼｯｸM-PRO" w:hAnsi="HG丸ｺﾞｼｯｸM-PRO" w:cstheme="majorHAnsi" w:hint="eastAsia"/>
          <w:sz w:val="20"/>
        </w:rPr>
      </w:pPr>
    </w:p>
    <w:p w:rsidR="00932D9F" w:rsidRPr="002974AC" w:rsidRDefault="00932D9F" w:rsidP="00932D9F">
      <w:pPr>
        <w:spacing w:line="320" w:lineRule="exact"/>
        <w:rPr>
          <w:rFonts w:ascii="HG丸ｺﾞｼｯｸM-PRO" w:eastAsia="HG丸ｺﾞｼｯｸM-PRO" w:hAnsi="HG丸ｺﾞｼｯｸM-PRO" w:cstheme="majorHAnsi"/>
          <w:b/>
          <w:sz w:val="22"/>
        </w:rPr>
      </w:pPr>
      <w:r w:rsidRPr="002974AC">
        <w:rPr>
          <w:rFonts w:ascii="HG丸ｺﾞｼｯｸM-PRO" w:eastAsia="HG丸ｺﾞｼｯｸM-PRO" w:hAnsi="HG丸ｺﾞｼｯｸM-PRO" w:cstheme="majorHAnsi" w:hint="eastAsia"/>
          <w:b/>
          <w:sz w:val="22"/>
        </w:rPr>
        <w:t>【例6】清掃の事業</w:t>
      </w:r>
    </w:p>
    <w:p w:rsidR="00932D9F" w:rsidRPr="002974AC" w:rsidRDefault="00932D9F" w:rsidP="00932D9F">
      <w:pPr>
        <w:spacing w:afterLines="20" w:after="72" w:line="320" w:lineRule="exact"/>
        <w:rPr>
          <w:rFonts w:ascii="HG丸ｺﾞｼｯｸM-PRO" w:eastAsia="HG丸ｺﾞｼｯｸM-PRO" w:hAnsi="HG丸ｺﾞｼｯｸM-PRO" w:cstheme="majorHAnsi"/>
          <w:sz w:val="20"/>
        </w:rPr>
      </w:pPr>
      <w:r w:rsidRPr="002974AC">
        <w:rPr>
          <w:rFonts w:ascii="HG丸ｺﾞｼｯｸM-PRO" w:eastAsia="HG丸ｺﾞｼｯｸM-PRO" w:hAnsi="HG丸ｺﾞｼｯｸM-PRO" w:cstheme="majorHAnsi" w:hint="eastAsia"/>
          <w:sz w:val="20"/>
        </w:rPr>
        <w:t xml:space="preserve">　池に設置してある浄化槽の清掃や除草作業は、契約している工事の一環として行う作業であれば当該有期事業に含めますが、工事とは別の契約として清掃のみを行う作業であれば「清掃業（9101）」に分類します。</w:t>
      </w:r>
    </w:p>
    <w:p w:rsidR="00932D9F" w:rsidRPr="002974AC" w:rsidRDefault="00932D9F" w:rsidP="00932D9F">
      <w:pPr>
        <w:spacing w:line="320" w:lineRule="exact"/>
        <w:rPr>
          <w:rFonts w:ascii="HG丸ｺﾞｼｯｸM-PRO" w:eastAsia="HG丸ｺﾞｼｯｸM-PRO" w:hAnsi="HG丸ｺﾞｼｯｸM-PRO" w:cstheme="majorHAnsi"/>
          <w:bCs/>
          <w:sz w:val="20"/>
          <w:szCs w:val="21"/>
        </w:rPr>
      </w:pPr>
    </w:p>
    <w:p w:rsidR="00932D9F" w:rsidRPr="002974AC" w:rsidRDefault="00932D9F" w:rsidP="00932D9F">
      <w:pPr>
        <w:spacing w:line="320" w:lineRule="exact"/>
        <w:rPr>
          <w:rFonts w:ascii="HG丸ｺﾞｼｯｸM-PRO" w:eastAsia="HG丸ｺﾞｼｯｸM-PRO" w:hAnsi="HG丸ｺﾞｼｯｸM-PRO" w:cstheme="majorHAnsi"/>
          <w:b/>
          <w:sz w:val="22"/>
        </w:rPr>
      </w:pPr>
      <w:r w:rsidRPr="002974AC">
        <w:rPr>
          <w:rFonts w:ascii="HG丸ｺﾞｼｯｸM-PRO" w:eastAsia="HG丸ｺﾞｼｯｸM-PRO" w:hAnsi="HG丸ｺﾞｼｯｸM-PRO" w:cstheme="majorHAnsi" w:hint="eastAsia"/>
          <w:b/>
          <w:sz w:val="22"/>
        </w:rPr>
        <w:t>【例7】造園の事業</w:t>
      </w:r>
    </w:p>
    <w:p w:rsidR="00932D9F" w:rsidRPr="002974AC" w:rsidRDefault="00932D9F" w:rsidP="00932D9F">
      <w:pPr>
        <w:spacing w:afterLines="20" w:after="72" w:line="320" w:lineRule="exact"/>
        <w:rPr>
          <w:rFonts w:ascii="HG丸ｺﾞｼｯｸM-PRO" w:eastAsia="HG丸ｺﾞｼｯｸM-PRO" w:hAnsi="HG丸ｺﾞｼｯｸM-PRO" w:cstheme="majorHAnsi"/>
          <w:sz w:val="20"/>
        </w:rPr>
      </w:pPr>
      <w:r w:rsidRPr="002974AC">
        <w:rPr>
          <w:rFonts w:ascii="HG丸ｺﾞｼｯｸM-PRO" w:eastAsia="HG丸ｺﾞｼｯｸM-PRO" w:hAnsi="HG丸ｺﾞｼｯｸM-PRO" w:cstheme="majorHAnsi" w:hint="eastAsia"/>
          <w:sz w:val="20"/>
        </w:rPr>
        <w:t xml:space="preserve">　土木工事により築山、人工池を造成していく工事は「造園の事業（3719）」、土木工事を伴わず建築の様態を伴って門、塀、柵を新設する工事は「その他の建築事業（3506）」に分類します。</w:t>
      </w:r>
    </w:p>
    <w:p w:rsidR="00932D9F" w:rsidRDefault="00932D9F" w:rsidP="00932D9F">
      <w:pPr>
        <w:spacing w:afterLines="20" w:after="72" w:line="320" w:lineRule="exact"/>
        <w:ind w:firstLineChars="100" w:firstLine="200"/>
        <w:rPr>
          <w:rFonts w:ascii="HG丸ｺﾞｼｯｸM-PRO" w:eastAsia="HG丸ｺﾞｼｯｸM-PRO" w:hAnsi="HG丸ｺﾞｼｯｸM-PRO" w:cstheme="majorHAnsi"/>
          <w:sz w:val="20"/>
        </w:rPr>
      </w:pPr>
      <w:r w:rsidRPr="002974AC">
        <w:rPr>
          <w:rFonts w:ascii="HG丸ｺﾞｼｯｸM-PRO" w:eastAsia="HG丸ｺﾞｼｯｸM-PRO" w:hAnsi="HG丸ｺﾞｼｯｸM-PRO" w:cstheme="majorHAnsi" w:hint="eastAsia"/>
          <w:sz w:val="20"/>
        </w:rPr>
        <w:t>このような工事様態を伴わず、刃物やチェーンソーのような手工具のみを用いての樹木の剪定やガーデニング等を行う場合は「土地の耕作又は植物の栽植、栽培若しくは採取の事業その他の農業（9501）」に分類することとなります。「9501」のうち園芸サービス業は、その業態より暫定任意適用事業には該当せず一元適用事業として取り扱い、特掲事業にもあたりません。</w:t>
      </w:r>
    </w:p>
    <w:p w:rsidR="00932D9F" w:rsidRPr="002974AC" w:rsidRDefault="00932D9F" w:rsidP="00932D9F">
      <w:pPr>
        <w:spacing w:afterLines="20" w:after="72" w:line="320" w:lineRule="exact"/>
        <w:rPr>
          <w:rFonts w:ascii="HG丸ｺﾞｼｯｸM-PRO" w:eastAsia="HG丸ｺﾞｼｯｸM-PRO" w:hAnsi="HG丸ｺﾞｼｯｸM-PRO" w:cstheme="majorHAnsi" w:hint="eastAsia"/>
          <w:sz w:val="20"/>
        </w:rPr>
      </w:pPr>
    </w:p>
    <w:sectPr w:rsidR="00932D9F" w:rsidRPr="002974AC" w:rsidSect="00C9150A">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2A2D" w:rsidRDefault="00262A2D" w:rsidP="00CB3A06">
      <w:r>
        <w:separator/>
      </w:r>
    </w:p>
  </w:endnote>
  <w:endnote w:type="continuationSeparator" w:id="0">
    <w:p w:rsidR="00262A2D" w:rsidRDefault="00262A2D" w:rsidP="00CB3A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HGP創英角ﾎﾟｯﾌﾟ体">
    <w:panose1 w:val="040B0A00000000000000"/>
    <w:charset w:val="80"/>
    <w:family w:val="modern"/>
    <w:pitch w:val="variable"/>
    <w:sig w:usb0="E00002FF" w:usb1="6AC7FDFB" w:usb2="00000012" w:usb3="00000000" w:csb0="0002009F" w:csb1="00000000"/>
  </w:font>
  <w:font w:name="HG丸ｺﾞｼｯｸM-PRO">
    <w:panose1 w:val="020F0600000000000000"/>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2A2D" w:rsidRDefault="00262A2D" w:rsidP="00CB3A06">
      <w:r>
        <w:separator/>
      </w:r>
    </w:p>
  </w:footnote>
  <w:footnote w:type="continuationSeparator" w:id="0">
    <w:p w:rsidR="00262A2D" w:rsidRDefault="00262A2D" w:rsidP="00CB3A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015C6"/>
    <w:multiLevelType w:val="hybridMultilevel"/>
    <w:tmpl w:val="5C7A2A24"/>
    <w:lvl w:ilvl="0" w:tplc="F5E85514">
      <w:start w:val="1"/>
      <w:numFmt w:val="decimalEnclosedCircle"/>
      <w:lvlText w:val="%1"/>
      <w:lvlJc w:val="left"/>
      <w:pPr>
        <w:ind w:left="440" w:hanging="440"/>
      </w:pPr>
      <w:rPr>
        <w:rFonts w:hint="eastAsia"/>
      </w:rPr>
    </w:lvl>
    <w:lvl w:ilvl="1" w:tplc="F5E85514">
      <w:start w:val="1"/>
      <w:numFmt w:val="decimalEnclosedCircle"/>
      <w:lvlText w:val="%2"/>
      <w:lvlJc w:val="left"/>
      <w:pPr>
        <w:ind w:left="880" w:hanging="440"/>
      </w:pPr>
      <w:rPr>
        <w:rFonts w:hint="eastAsia"/>
      </w:r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4C1F1040"/>
    <w:multiLevelType w:val="hybridMultilevel"/>
    <w:tmpl w:val="5FC2F422"/>
    <w:lvl w:ilvl="0" w:tplc="8BEEB222">
      <w:start w:val="1"/>
      <w:numFmt w:val="decimalEnclosedCircle"/>
      <w:lvlText w:val="%1"/>
      <w:lvlJc w:val="left"/>
      <w:pPr>
        <w:ind w:left="600" w:hanging="360"/>
      </w:pPr>
      <w:rPr>
        <w:rFonts w:hint="default"/>
      </w:rPr>
    </w:lvl>
    <w:lvl w:ilvl="1" w:tplc="04090017" w:tentative="1">
      <w:start w:val="1"/>
      <w:numFmt w:val="aiueoFullWidth"/>
      <w:lvlText w:val="(%2)"/>
      <w:lvlJc w:val="left"/>
      <w:pPr>
        <w:ind w:left="1120" w:hanging="440"/>
      </w:pPr>
    </w:lvl>
    <w:lvl w:ilvl="2" w:tplc="04090011" w:tentative="1">
      <w:start w:val="1"/>
      <w:numFmt w:val="decimalEnclosedCircle"/>
      <w:lvlText w:val="%3"/>
      <w:lvlJc w:val="left"/>
      <w:pPr>
        <w:ind w:left="1560" w:hanging="440"/>
      </w:pPr>
    </w:lvl>
    <w:lvl w:ilvl="3" w:tplc="0409000F" w:tentative="1">
      <w:start w:val="1"/>
      <w:numFmt w:val="decimal"/>
      <w:lvlText w:val="%4."/>
      <w:lvlJc w:val="left"/>
      <w:pPr>
        <w:ind w:left="2000" w:hanging="440"/>
      </w:pPr>
    </w:lvl>
    <w:lvl w:ilvl="4" w:tplc="04090017" w:tentative="1">
      <w:start w:val="1"/>
      <w:numFmt w:val="aiueoFullWidth"/>
      <w:lvlText w:val="(%5)"/>
      <w:lvlJc w:val="left"/>
      <w:pPr>
        <w:ind w:left="2440" w:hanging="440"/>
      </w:pPr>
    </w:lvl>
    <w:lvl w:ilvl="5" w:tplc="04090011" w:tentative="1">
      <w:start w:val="1"/>
      <w:numFmt w:val="decimalEnclosedCircle"/>
      <w:lvlText w:val="%6"/>
      <w:lvlJc w:val="left"/>
      <w:pPr>
        <w:ind w:left="2880" w:hanging="440"/>
      </w:pPr>
    </w:lvl>
    <w:lvl w:ilvl="6" w:tplc="0409000F" w:tentative="1">
      <w:start w:val="1"/>
      <w:numFmt w:val="decimal"/>
      <w:lvlText w:val="%7."/>
      <w:lvlJc w:val="left"/>
      <w:pPr>
        <w:ind w:left="3320" w:hanging="440"/>
      </w:pPr>
    </w:lvl>
    <w:lvl w:ilvl="7" w:tplc="04090017" w:tentative="1">
      <w:start w:val="1"/>
      <w:numFmt w:val="aiueoFullWidth"/>
      <w:lvlText w:val="(%8)"/>
      <w:lvlJc w:val="left"/>
      <w:pPr>
        <w:ind w:left="3760" w:hanging="440"/>
      </w:pPr>
    </w:lvl>
    <w:lvl w:ilvl="8" w:tplc="04090011" w:tentative="1">
      <w:start w:val="1"/>
      <w:numFmt w:val="decimalEnclosedCircle"/>
      <w:lvlText w:val="%9"/>
      <w:lvlJc w:val="left"/>
      <w:pPr>
        <w:ind w:left="4200" w:hanging="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50A"/>
    <w:rsid w:val="000364CD"/>
    <w:rsid w:val="00262A2D"/>
    <w:rsid w:val="00531F22"/>
    <w:rsid w:val="00932D9F"/>
    <w:rsid w:val="00C9150A"/>
    <w:rsid w:val="00CA54EE"/>
    <w:rsid w:val="00CB3A06"/>
    <w:rsid w:val="00DF31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BDA0721"/>
  <w15:chartTrackingRefBased/>
  <w15:docId w15:val="{5EBC26FC-795C-4F0E-B044-8359E61E4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C9150A"/>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3">
    <w:name w:val="header"/>
    <w:basedOn w:val="a"/>
    <w:link w:val="a4"/>
    <w:uiPriority w:val="99"/>
    <w:unhideWhenUsed/>
    <w:rsid w:val="00CB3A06"/>
    <w:pPr>
      <w:tabs>
        <w:tab w:val="center" w:pos="4252"/>
        <w:tab w:val="right" w:pos="8504"/>
      </w:tabs>
      <w:snapToGrid w:val="0"/>
    </w:pPr>
  </w:style>
  <w:style w:type="character" w:customStyle="1" w:styleId="a4">
    <w:name w:val="ヘッダー (文字)"/>
    <w:basedOn w:val="a0"/>
    <w:link w:val="a3"/>
    <w:uiPriority w:val="99"/>
    <w:rsid w:val="00CB3A06"/>
  </w:style>
  <w:style w:type="paragraph" w:styleId="a5">
    <w:name w:val="footer"/>
    <w:basedOn w:val="a"/>
    <w:link w:val="a6"/>
    <w:uiPriority w:val="99"/>
    <w:unhideWhenUsed/>
    <w:rsid w:val="00CB3A06"/>
    <w:pPr>
      <w:tabs>
        <w:tab w:val="center" w:pos="4252"/>
        <w:tab w:val="right" w:pos="8504"/>
      </w:tabs>
      <w:snapToGrid w:val="0"/>
    </w:pPr>
  </w:style>
  <w:style w:type="character" w:customStyle="1" w:styleId="a6">
    <w:name w:val="フッター (文字)"/>
    <w:basedOn w:val="a0"/>
    <w:link w:val="a5"/>
    <w:uiPriority w:val="99"/>
    <w:rsid w:val="00CB3A06"/>
  </w:style>
  <w:style w:type="paragraph" w:styleId="a7">
    <w:name w:val="List Paragraph"/>
    <w:basedOn w:val="a"/>
    <w:uiPriority w:val="34"/>
    <w:qFormat/>
    <w:rsid w:val="00CB3A06"/>
    <w:pPr>
      <w:ind w:leftChars="400" w:left="840"/>
    </w:pPr>
  </w:style>
  <w:style w:type="table" w:styleId="a8">
    <w:name w:val="Table Grid"/>
    <w:basedOn w:val="a1"/>
    <w:uiPriority w:val="59"/>
    <w:rsid w:val="00CB3A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uiPriority w:val="99"/>
    <w:semiHidden/>
    <w:unhideWhenUsed/>
    <w:rsid w:val="00932D9F"/>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932D9F"/>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209574">
      <w:bodyDiv w:val="1"/>
      <w:marLeft w:val="0"/>
      <w:marRight w:val="0"/>
      <w:marTop w:val="0"/>
      <w:marBottom w:val="0"/>
      <w:divBdr>
        <w:top w:val="none" w:sz="0" w:space="0" w:color="auto"/>
        <w:left w:val="none" w:sz="0" w:space="0" w:color="auto"/>
        <w:bottom w:val="none" w:sz="0" w:space="0" w:color="auto"/>
        <w:right w:val="none" w:sz="0" w:space="0" w:color="auto"/>
      </w:divBdr>
    </w:div>
    <w:div w:id="1020855517">
      <w:bodyDiv w:val="1"/>
      <w:marLeft w:val="0"/>
      <w:marRight w:val="0"/>
      <w:marTop w:val="0"/>
      <w:marBottom w:val="0"/>
      <w:divBdr>
        <w:top w:val="none" w:sz="0" w:space="0" w:color="auto"/>
        <w:left w:val="none" w:sz="0" w:space="0" w:color="auto"/>
        <w:bottom w:val="none" w:sz="0" w:space="0" w:color="auto"/>
        <w:right w:val="none" w:sz="0" w:space="0" w:color="auto"/>
      </w:divBdr>
    </w:div>
    <w:div w:id="1180507796">
      <w:bodyDiv w:val="1"/>
      <w:marLeft w:val="0"/>
      <w:marRight w:val="0"/>
      <w:marTop w:val="0"/>
      <w:marBottom w:val="0"/>
      <w:divBdr>
        <w:top w:val="none" w:sz="0" w:space="0" w:color="auto"/>
        <w:left w:val="none" w:sz="0" w:space="0" w:color="auto"/>
        <w:bottom w:val="none" w:sz="0" w:space="0" w:color="auto"/>
        <w:right w:val="none" w:sz="0" w:space="0" w:color="auto"/>
      </w:divBdr>
    </w:div>
    <w:div w:id="1690568990">
      <w:bodyDiv w:val="1"/>
      <w:marLeft w:val="0"/>
      <w:marRight w:val="0"/>
      <w:marTop w:val="0"/>
      <w:marBottom w:val="0"/>
      <w:divBdr>
        <w:top w:val="none" w:sz="0" w:space="0" w:color="auto"/>
        <w:left w:val="none" w:sz="0" w:space="0" w:color="auto"/>
        <w:bottom w:val="none" w:sz="0" w:space="0" w:color="auto"/>
        <w:right w:val="none" w:sz="0" w:space="0" w:color="auto"/>
      </w:divBdr>
    </w:div>
    <w:div w:id="1983540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191</Words>
  <Characters>1095</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sho11</dc:creator>
  <cp:keywords/>
  <dc:description/>
  <cp:lastModifiedBy>sho11</cp:lastModifiedBy>
  <cp:revision>1</cp:revision>
  <cp:lastPrinted>2025-03-21T02:19:00Z</cp:lastPrinted>
  <dcterms:created xsi:type="dcterms:W3CDTF">2025-03-21T01:24:00Z</dcterms:created>
  <dcterms:modified xsi:type="dcterms:W3CDTF">2025-03-21T02:57:00Z</dcterms:modified>
</cp:coreProperties>
</file>