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hyperlink r:id="rId6">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U.S organizations have the obligation to compliance with FERC NERC</w:t>
      </w:r>
    </w:p>
    <w:p w:rsidR="00000000" w:rsidDel="00000000" w:rsidP="00000000" w:rsidRDefault="00000000" w:rsidRPr="00000000" w14:paraId="00000007">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wants to do business in E.U</w:t>
      </w:r>
      <w:r w:rsidDel="00000000" w:rsidR="00000000" w:rsidRPr="00000000">
        <w:rPr>
          <w:rtl w:val="0"/>
        </w:rPr>
      </w:r>
    </w:p>
    <w:p w:rsidR="00000000" w:rsidDel="00000000" w:rsidP="00000000" w:rsidRDefault="00000000" w:rsidRPr="00000000" w14:paraId="0000000A">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handles with credit card data</w:t>
      </w:r>
      <w:r w:rsidDel="00000000" w:rsidR="00000000" w:rsidRPr="00000000">
        <w:rPr>
          <w:rtl w:val="0"/>
        </w:rPr>
      </w:r>
    </w:p>
    <w:p w:rsidR="00000000" w:rsidDel="00000000" w:rsidP="00000000" w:rsidRDefault="00000000" w:rsidRPr="00000000" w14:paraId="0000000D">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10">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need to evaluate levels of risk.</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foundations-of-cybersecurity/supplement/xu4pr/controls-frameworks-and-complia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