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7FFF9F" w14:textId="77777777" w:rsidR="006C7233" w:rsidRDefault="006C7233" w:rsidP="006C7233">
      <w:pPr>
        <w:pStyle w:val="Heading2"/>
      </w:pPr>
      <w:bookmarkStart w:id="0" w:name="_z2rbymm2tq6w" w:colFirst="0" w:colLast="0"/>
      <w:bookmarkEnd w:id="0"/>
      <w:r>
        <w:t>Overview</w:t>
      </w:r>
    </w:p>
    <w:p w14:paraId="07641431" w14:textId="3A84EAE3" w:rsidR="006C7233" w:rsidRDefault="006C7233" w:rsidP="006C7233"/>
    <w:tbl>
      <w:tblPr>
        <w:tblW w:w="9360" w:type="dxa"/>
        <w:tblCellMar>
          <w:top w:w="15" w:type="dxa"/>
          <w:left w:w="15" w:type="dxa"/>
          <w:bottom w:w="15" w:type="dxa"/>
          <w:right w:w="15" w:type="dxa"/>
        </w:tblCellMar>
        <w:tblLook w:val="04A0" w:firstRow="1" w:lastRow="0" w:firstColumn="1" w:lastColumn="0" w:noHBand="0" w:noVBand="1"/>
      </w:tblPr>
      <w:tblGrid>
        <w:gridCol w:w="1209"/>
        <w:gridCol w:w="987"/>
        <w:gridCol w:w="2500"/>
        <w:gridCol w:w="2142"/>
        <w:gridCol w:w="1071"/>
        <w:gridCol w:w="1451"/>
      </w:tblGrid>
      <w:tr w:rsidR="007637DE" w:rsidRPr="006C7233" w14:paraId="47CDCC44" w14:textId="77777777" w:rsidTr="00505D89">
        <w:tc>
          <w:tcPr>
            <w:tcW w:w="1209" w:type="dxa"/>
            <w:tcBorders>
              <w:top w:val="single" w:sz="8" w:space="0" w:color="000000"/>
              <w:left w:val="single" w:sz="8" w:space="0" w:color="FFFFFF"/>
              <w:bottom w:val="single" w:sz="8" w:space="0" w:color="000000"/>
              <w:right w:val="single" w:sz="8" w:space="0" w:color="D9D9D9"/>
            </w:tcBorders>
            <w:shd w:val="clear" w:color="auto" w:fill="D9D9D9"/>
            <w:tcMar>
              <w:top w:w="100" w:type="dxa"/>
              <w:left w:w="100" w:type="dxa"/>
              <w:bottom w:w="100" w:type="dxa"/>
              <w:right w:w="100" w:type="dxa"/>
            </w:tcMar>
            <w:hideMark/>
          </w:tcPr>
          <w:p w14:paraId="256759FE" w14:textId="77777777" w:rsidR="006C7233" w:rsidRPr="006C7233" w:rsidRDefault="006C7233" w:rsidP="006C7233">
            <w:pPr>
              <w:spacing w:line="240" w:lineRule="auto"/>
              <w:rPr>
                <w:rFonts w:ascii="Times New Roman" w:eastAsia="Times New Roman" w:hAnsi="Times New Roman" w:cs="Times New Roman"/>
                <w:sz w:val="24"/>
                <w:szCs w:val="24"/>
                <w:lang w:val="en-US"/>
              </w:rPr>
            </w:pPr>
            <w:r w:rsidRPr="006C7233">
              <w:rPr>
                <w:rFonts w:eastAsia="Times New Roman"/>
                <w:color w:val="000000"/>
                <w:lang w:val="en-US"/>
              </w:rPr>
              <w:t>Trial</w:t>
            </w:r>
          </w:p>
        </w:tc>
        <w:tc>
          <w:tcPr>
            <w:tcW w:w="987" w:type="dxa"/>
            <w:tcBorders>
              <w:top w:val="single" w:sz="8" w:space="0" w:color="000000"/>
              <w:left w:val="single" w:sz="8" w:space="0" w:color="D9D9D9"/>
              <w:bottom w:val="single" w:sz="8" w:space="0" w:color="000000"/>
              <w:right w:val="single" w:sz="8" w:space="0" w:color="D9D9D9"/>
            </w:tcBorders>
            <w:shd w:val="clear" w:color="auto" w:fill="D9D9D9"/>
            <w:tcMar>
              <w:top w:w="100" w:type="dxa"/>
              <w:left w:w="100" w:type="dxa"/>
              <w:bottom w:w="100" w:type="dxa"/>
              <w:right w:w="100" w:type="dxa"/>
            </w:tcMar>
            <w:hideMark/>
          </w:tcPr>
          <w:p w14:paraId="08F435FA" w14:textId="77777777" w:rsidR="006C7233" w:rsidRPr="006C7233" w:rsidRDefault="006C7233" w:rsidP="006C7233">
            <w:pPr>
              <w:spacing w:line="240" w:lineRule="auto"/>
              <w:jc w:val="center"/>
              <w:rPr>
                <w:rFonts w:ascii="Times New Roman" w:eastAsia="Times New Roman" w:hAnsi="Times New Roman" w:cs="Times New Roman"/>
                <w:sz w:val="24"/>
                <w:szCs w:val="24"/>
                <w:lang w:val="en-US"/>
              </w:rPr>
            </w:pPr>
            <w:r w:rsidRPr="006C7233">
              <w:rPr>
                <w:rFonts w:eastAsia="Times New Roman"/>
                <w:color w:val="000000"/>
                <w:lang w:val="en-US"/>
              </w:rPr>
              <w:t>Number of Eyes</w:t>
            </w:r>
          </w:p>
        </w:tc>
        <w:tc>
          <w:tcPr>
            <w:tcW w:w="0" w:type="auto"/>
            <w:tcBorders>
              <w:top w:val="single" w:sz="8" w:space="0" w:color="000000"/>
              <w:left w:val="single" w:sz="8" w:space="0" w:color="D9D9D9"/>
              <w:bottom w:val="single" w:sz="8" w:space="0" w:color="000000"/>
              <w:right w:val="single" w:sz="8" w:space="0" w:color="D9D9D9"/>
            </w:tcBorders>
            <w:shd w:val="clear" w:color="auto" w:fill="D9D9D9"/>
            <w:tcMar>
              <w:top w:w="100" w:type="dxa"/>
              <w:left w:w="100" w:type="dxa"/>
              <w:bottom w:w="100" w:type="dxa"/>
              <w:right w:w="100" w:type="dxa"/>
            </w:tcMar>
            <w:hideMark/>
          </w:tcPr>
          <w:p w14:paraId="1BC75CFD" w14:textId="77777777" w:rsidR="006C7233" w:rsidRPr="006C7233" w:rsidRDefault="006C7233" w:rsidP="006C7233">
            <w:pPr>
              <w:spacing w:line="240" w:lineRule="auto"/>
              <w:jc w:val="center"/>
              <w:rPr>
                <w:rFonts w:ascii="Times New Roman" w:eastAsia="Times New Roman" w:hAnsi="Times New Roman" w:cs="Times New Roman"/>
                <w:sz w:val="24"/>
                <w:szCs w:val="24"/>
                <w:lang w:val="en-US"/>
              </w:rPr>
            </w:pPr>
            <w:r w:rsidRPr="006C7233">
              <w:rPr>
                <w:rFonts w:eastAsia="Times New Roman"/>
                <w:color w:val="000000"/>
                <w:lang w:val="en-US"/>
              </w:rPr>
              <w:t>Disease</w:t>
            </w:r>
          </w:p>
        </w:tc>
        <w:tc>
          <w:tcPr>
            <w:tcW w:w="0" w:type="auto"/>
            <w:tcBorders>
              <w:top w:val="single" w:sz="8" w:space="0" w:color="000000"/>
              <w:left w:val="single" w:sz="8" w:space="0" w:color="D9D9D9"/>
              <w:bottom w:val="single" w:sz="8" w:space="0" w:color="000000"/>
              <w:right w:val="single" w:sz="8" w:space="0" w:color="D9D9D9"/>
            </w:tcBorders>
            <w:shd w:val="clear" w:color="auto" w:fill="D9D9D9"/>
            <w:tcMar>
              <w:top w:w="100" w:type="dxa"/>
              <w:left w:w="100" w:type="dxa"/>
              <w:bottom w:w="100" w:type="dxa"/>
              <w:right w:w="100" w:type="dxa"/>
            </w:tcMar>
            <w:hideMark/>
          </w:tcPr>
          <w:p w14:paraId="4A470CFB" w14:textId="77777777" w:rsidR="006C7233" w:rsidRPr="006C7233" w:rsidRDefault="006C7233" w:rsidP="006C7233">
            <w:pPr>
              <w:spacing w:line="240" w:lineRule="auto"/>
              <w:jc w:val="center"/>
              <w:rPr>
                <w:rFonts w:ascii="Times New Roman" w:eastAsia="Times New Roman" w:hAnsi="Times New Roman" w:cs="Times New Roman"/>
                <w:sz w:val="24"/>
                <w:szCs w:val="24"/>
                <w:lang w:val="en-US"/>
              </w:rPr>
            </w:pPr>
            <w:r w:rsidRPr="006C7233">
              <w:rPr>
                <w:rFonts w:eastAsia="Times New Roman"/>
                <w:color w:val="000000"/>
                <w:lang w:val="en-US"/>
              </w:rPr>
              <w:t>Treatment</w:t>
            </w:r>
          </w:p>
        </w:tc>
        <w:tc>
          <w:tcPr>
            <w:tcW w:w="0" w:type="auto"/>
            <w:tcBorders>
              <w:top w:val="single" w:sz="8" w:space="0" w:color="000000"/>
              <w:left w:val="single" w:sz="8" w:space="0" w:color="D9D9D9"/>
              <w:bottom w:val="single" w:sz="8" w:space="0" w:color="000000"/>
              <w:right w:val="single" w:sz="8" w:space="0" w:color="D9D9D9"/>
            </w:tcBorders>
            <w:shd w:val="clear" w:color="auto" w:fill="D9D9D9"/>
            <w:tcMar>
              <w:top w:w="100" w:type="dxa"/>
              <w:left w:w="100" w:type="dxa"/>
              <w:bottom w:w="100" w:type="dxa"/>
              <w:right w:w="100" w:type="dxa"/>
            </w:tcMar>
            <w:hideMark/>
          </w:tcPr>
          <w:p w14:paraId="22C9E66E" w14:textId="1344ADD0" w:rsidR="006C7233" w:rsidRPr="006C7233" w:rsidRDefault="006C7233" w:rsidP="006C7233">
            <w:pPr>
              <w:spacing w:line="240" w:lineRule="auto"/>
              <w:jc w:val="center"/>
              <w:rPr>
                <w:rFonts w:ascii="Times New Roman" w:eastAsia="Times New Roman" w:hAnsi="Times New Roman" w:cs="Times New Roman"/>
                <w:sz w:val="24"/>
                <w:szCs w:val="24"/>
                <w:lang w:val="en-US"/>
              </w:rPr>
            </w:pPr>
            <w:r w:rsidRPr="006C7233">
              <w:rPr>
                <w:rFonts w:eastAsia="Times New Roman"/>
                <w:color w:val="000000"/>
                <w:lang w:val="en-US"/>
              </w:rPr>
              <w:t>Length</w:t>
            </w:r>
            <w:r>
              <w:rPr>
                <w:rFonts w:eastAsia="Times New Roman"/>
                <w:color w:val="000000"/>
                <w:lang w:val="en-US"/>
              </w:rPr>
              <w:t xml:space="preserve"> (years)</w:t>
            </w:r>
          </w:p>
        </w:tc>
        <w:tc>
          <w:tcPr>
            <w:tcW w:w="0" w:type="auto"/>
            <w:tcBorders>
              <w:top w:val="single" w:sz="8" w:space="0" w:color="000000"/>
              <w:left w:val="single" w:sz="8" w:space="0" w:color="D9D9D9"/>
              <w:bottom w:val="single" w:sz="8" w:space="0" w:color="000000"/>
              <w:right w:val="single" w:sz="8" w:space="0" w:color="FFFFFF"/>
            </w:tcBorders>
            <w:shd w:val="clear" w:color="auto" w:fill="D9D9D9"/>
            <w:tcMar>
              <w:top w:w="100" w:type="dxa"/>
              <w:left w:w="100" w:type="dxa"/>
              <w:bottom w:w="100" w:type="dxa"/>
              <w:right w:w="100" w:type="dxa"/>
            </w:tcMar>
            <w:hideMark/>
          </w:tcPr>
          <w:p w14:paraId="3699DD5B" w14:textId="77777777" w:rsidR="006C7233" w:rsidRPr="006C7233" w:rsidRDefault="006C7233" w:rsidP="006C7233">
            <w:pPr>
              <w:spacing w:line="240" w:lineRule="auto"/>
              <w:jc w:val="center"/>
              <w:rPr>
                <w:rFonts w:ascii="Times New Roman" w:eastAsia="Times New Roman" w:hAnsi="Times New Roman" w:cs="Times New Roman"/>
                <w:sz w:val="24"/>
                <w:szCs w:val="24"/>
                <w:lang w:val="en-US"/>
              </w:rPr>
            </w:pPr>
            <w:r w:rsidRPr="006C7233">
              <w:rPr>
                <w:rFonts w:eastAsia="Times New Roman"/>
                <w:color w:val="000000"/>
                <w:lang w:val="en-US"/>
              </w:rPr>
              <w:t>Frequency of Visits</w:t>
            </w:r>
          </w:p>
        </w:tc>
      </w:tr>
      <w:tr w:rsidR="006C7233" w:rsidRPr="006C7233" w14:paraId="731AAD9B" w14:textId="77777777" w:rsidTr="00505D89">
        <w:tc>
          <w:tcPr>
            <w:tcW w:w="1209" w:type="dxa"/>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3D222F3C" w14:textId="77777777" w:rsidR="006C7233" w:rsidRPr="006C7233" w:rsidRDefault="006C7233" w:rsidP="006C7233">
            <w:pPr>
              <w:spacing w:line="240" w:lineRule="auto"/>
              <w:rPr>
                <w:rFonts w:ascii="Times New Roman" w:eastAsia="Times New Roman" w:hAnsi="Times New Roman" w:cs="Times New Roman"/>
                <w:sz w:val="24"/>
                <w:szCs w:val="24"/>
                <w:lang w:val="en-US"/>
              </w:rPr>
            </w:pPr>
            <w:r w:rsidRPr="006C7233">
              <w:rPr>
                <w:rFonts w:eastAsia="Times New Roman"/>
                <w:color w:val="000000"/>
                <w:lang w:val="en-US"/>
              </w:rPr>
              <w:t>PRIME</w:t>
            </w:r>
          </w:p>
        </w:tc>
        <w:tc>
          <w:tcPr>
            <w:tcW w:w="987" w:type="dxa"/>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637AE52A" w14:textId="77777777" w:rsidR="006C7233" w:rsidRPr="006C7233" w:rsidRDefault="006C7233" w:rsidP="006C7233">
            <w:pPr>
              <w:spacing w:line="240" w:lineRule="auto"/>
              <w:jc w:val="center"/>
              <w:rPr>
                <w:rFonts w:ascii="Times New Roman" w:eastAsia="Times New Roman" w:hAnsi="Times New Roman" w:cs="Times New Roman"/>
                <w:sz w:val="24"/>
                <w:szCs w:val="24"/>
                <w:lang w:val="en-US"/>
              </w:rPr>
            </w:pPr>
            <w:r w:rsidRPr="006C7233">
              <w:rPr>
                <w:rFonts w:eastAsia="Times New Roman"/>
                <w:color w:val="000000"/>
                <w:lang w:val="en-US"/>
              </w:rPr>
              <w:t>40</w:t>
            </w: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7CB66A53" w14:textId="77777777" w:rsidR="006C7233" w:rsidRPr="006C7233" w:rsidRDefault="006C7233" w:rsidP="006C7233">
            <w:pPr>
              <w:spacing w:line="240" w:lineRule="auto"/>
              <w:jc w:val="center"/>
              <w:rPr>
                <w:rFonts w:ascii="Times New Roman" w:eastAsia="Times New Roman" w:hAnsi="Times New Roman" w:cs="Times New Roman"/>
                <w:sz w:val="24"/>
                <w:szCs w:val="24"/>
                <w:lang w:val="en-US"/>
              </w:rPr>
            </w:pPr>
            <w:r w:rsidRPr="006C7233">
              <w:rPr>
                <w:rFonts w:eastAsia="Times New Roman"/>
                <w:color w:val="000000"/>
                <w:lang w:val="en-US"/>
              </w:rPr>
              <w:t>Treatment-naïve NPDR/PDR without center-involved DME</w:t>
            </w: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7D19EBD5" w14:textId="02A05B0D" w:rsidR="006C7233" w:rsidRPr="006C7233" w:rsidRDefault="00542F66" w:rsidP="006C7233">
            <w:pPr>
              <w:spacing w:line="240" w:lineRule="auto"/>
              <w:jc w:val="center"/>
              <w:rPr>
                <w:rFonts w:ascii="Times New Roman" w:eastAsia="Times New Roman" w:hAnsi="Times New Roman" w:cs="Times New Roman"/>
                <w:sz w:val="24"/>
                <w:szCs w:val="24"/>
                <w:lang w:val="en-US"/>
              </w:rPr>
            </w:pPr>
            <w:proofErr w:type="spellStart"/>
            <w:r>
              <w:rPr>
                <w:rFonts w:eastAsia="Times New Roman"/>
                <w:color w:val="000000"/>
                <w:lang w:val="en-US"/>
              </w:rPr>
              <w:t>Aflibercept</w:t>
            </w:r>
            <w:proofErr w:type="spellEnd"/>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667949FB" w14:textId="4047E7B1" w:rsidR="006C7233" w:rsidRPr="006C7233" w:rsidRDefault="006C7233" w:rsidP="006C7233">
            <w:pPr>
              <w:spacing w:line="240" w:lineRule="auto"/>
              <w:jc w:val="center"/>
              <w:rPr>
                <w:rFonts w:ascii="Times New Roman" w:eastAsia="Times New Roman" w:hAnsi="Times New Roman" w:cs="Times New Roman"/>
                <w:sz w:val="24"/>
                <w:szCs w:val="24"/>
                <w:lang w:val="en-US"/>
              </w:rPr>
            </w:pPr>
            <w:r w:rsidRPr="006C7233">
              <w:rPr>
                <w:rFonts w:eastAsia="Times New Roman"/>
                <w:color w:val="000000"/>
                <w:lang w:val="en-US"/>
              </w:rPr>
              <w:t>2</w:t>
            </w: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561808E9" w14:textId="77777777" w:rsidR="006C7233" w:rsidRPr="006C7233" w:rsidRDefault="006C7233" w:rsidP="006C7233">
            <w:pPr>
              <w:spacing w:line="240" w:lineRule="auto"/>
              <w:jc w:val="center"/>
              <w:rPr>
                <w:rFonts w:ascii="Times New Roman" w:eastAsia="Times New Roman" w:hAnsi="Times New Roman" w:cs="Times New Roman"/>
                <w:sz w:val="24"/>
                <w:szCs w:val="24"/>
                <w:lang w:val="en-US"/>
              </w:rPr>
            </w:pPr>
            <w:r w:rsidRPr="006C7233">
              <w:rPr>
                <w:rFonts w:eastAsia="Times New Roman"/>
                <w:color w:val="000000"/>
                <w:lang w:val="en-US"/>
              </w:rPr>
              <w:t>Every 4-8 weeks</w:t>
            </w:r>
          </w:p>
        </w:tc>
      </w:tr>
      <w:tr w:rsidR="006C7233" w:rsidRPr="006C7233" w14:paraId="0A2D8093" w14:textId="77777777" w:rsidTr="00505D89">
        <w:tc>
          <w:tcPr>
            <w:tcW w:w="1209" w:type="dxa"/>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36FEF567" w14:textId="77777777" w:rsidR="006C7233" w:rsidRPr="006C7233" w:rsidRDefault="006C7233" w:rsidP="006C7233">
            <w:pPr>
              <w:spacing w:line="240" w:lineRule="auto"/>
              <w:rPr>
                <w:rFonts w:ascii="Times New Roman" w:eastAsia="Times New Roman" w:hAnsi="Times New Roman" w:cs="Times New Roman"/>
                <w:sz w:val="24"/>
                <w:szCs w:val="24"/>
                <w:lang w:val="en-US"/>
              </w:rPr>
            </w:pPr>
            <w:r w:rsidRPr="006C7233">
              <w:rPr>
                <w:rFonts w:eastAsia="Times New Roman"/>
                <w:color w:val="000000"/>
                <w:lang w:val="en-US"/>
              </w:rPr>
              <w:t>TREX-DME</w:t>
            </w:r>
          </w:p>
        </w:tc>
        <w:tc>
          <w:tcPr>
            <w:tcW w:w="987" w:type="dxa"/>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6E193F2A" w14:textId="238B11AA" w:rsidR="006C7233" w:rsidRPr="006C7233" w:rsidRDefault="007637DE" w:rsidP="007637DE">
            <w:pPr>
              <w:spacing w:line="240" w:lineRule="auto"/>
              <w:jc w:val="center"/>
              <w:rPr>
                <w:rFonts w:ascii="Times New Roman" w:eastAsia="Times New Roman" w:hAnsi="Times New Roman" w:cs="Times New Roman"/>
                <w:sz w:val="24"/>
                <w:szCs w:val="24"/>
                <w:lang w:val="en-US"/>
              </w:rPr>
            </w:pPr>
            <w:r>
              <w:rPr>
                <w:rFonts w:eastAsia="Times New Roman"/>
                <w:color w:val="000000"/>
                <w:lang w:val="en-US"/>
              </w:rPr>
              <w:t>150*</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59992ACA" w14:textId="1CF6FC80" w:rsidR="006C7233" w:rsidRPr="006C7233" w:rsidRDefault="007637DE" w:rsidP="006C7233">
            <w:pPr>
              <w:spacing w:line="240" w:lineRule="auto"/>
              <w:jc w:val="center"/>
              <w:rPr>
                <w:rFonts w:ascii="Times New Roman" w:eastAsia="Times New Roman" w:hAnsi="Times New Roman" w:cs="Times New Roman"/>
                <w:sz w:val="24"/>
                <w:szCs w:val="24"/>
                <w:lang w:val="en-US"/>
              </w:rPr>
            </w:pPr>
            <w:r>
              <w:rPr>
                <w:rFonts w:eastAsia="Times New Roman"/>
                <w:color w:val="000000"/>
                <w:lang w:val="en-US"/>
              </w:rPr>
              <w:t xml:space="preserve">Center-involved </w:t>
            </w:r>
            <w:r w:rsidR="006C7233" w:rsidRPr="006C7233">
              <w:rPr>
                <w:rFonts w:eastAsia="Times New Roman"/>
                <w:color w:val="000000"/>
                <w:lang w:val="en-US"/>
              </w:rPr>
              <w:t>DME</w:t>
            </w:r>
          </w:p>
          <w:p w14:paraId="640B5D06" w14:textId="77777777" w:rsidR="006C7233" w:rsidRPr="006C7233" w:rsidRDefault="006C7233" w:rsidP="006C7233">
            <w:pPr>
              <w:spacing w:line="240" w:lineRule="auto"/>
              <w:rPr>
                <w:rFonts w:ascii="Times New Roman" w:eastAsia="Times New Roman" w:hAnsi="Times New Roman" w:cs="Times New Roman"/>
                <w:sz w:val="24"/>
                <w:szCs w:val="24"/>
                <w:lang w:val="en-US"/>
              </w:rPr>
            </w:pP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22FCA0A0" w14:textId="6E287C2C" w:rsidR="006C7233" w:rsidRPr="006C7233" w:rsidRDefault="00542F66" w:rsidP="006C7233">
            <w:pPr>
              <w:spacing w:line="240" w:lineRule="auto"/>
              <w:jc w:val="center"/>
              <w:rPr>
                <w:rFonts w:ascii="Times New Roman" w:eastAsia="Times New Roman" w:hAnsi="Times New Roman" w:cs="Times New Roman"/>
                <w:sz w:val="24"/>
                <w:szCs w:val="24"/>
                <w:lang w:val="en-US"/>
              </w:rPr>
            </w:pPr>
            <w:proofErr w:type="spellStart"/>
            <w:r w:rsidRPr="006C7233">
              <w:rPr>
                <w:rFonts w:eastAsia="Times New Roman"/>
                <w:color w:val="000000"/>
                <w:lang w:val="en-US"/>
              </w:rPr>
              <w:t>Ranibizumab</w:t>
            </w:r>
            <w:proofErr w:type="spellEnd"/>
            <w:r w:rsidRPr="006C7233">
              <w:rPr>
                <w:rFonts w:eastAsia="Times New Roman"/>
                <w:color w:val="000000"/>
                <w:lang w:val="en-US"/>
              </w:rPr>
              <w:t xml:space="preserve"> or </w:t>
            </w:r>
            <w:proofErr w:type="spellStart"/>
            <w:r w:rsidRPr="006C7233">
              <w:rPr>
                <w:rFonts w:eastAsia="Times New Roman"/>
                <w:color w:val="000000"/>
                <w:lang w:val="en-US"/>
              </w:rPr>
              <w:t>Ranibizumab</w:t>
            </w:r>
            <w:proofErr w:type="spellEnd"/>
            <w:r w:rsidRPr="006C7233">
              <w:rPr>
                <w:rFonts w:eastAsia="Times New Roman"/>
                <w:color w:val="000000"/>
                <w:lang w:val="en-US"/>
              </w:rPr>
              <w:t xml:space="preserve"> with laser</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50AACDC0" w14:textId="1F95496E" w:rsidR="006C7233" w:rsidRPr="006C7233" w:rsidRDefault="006C7233" w:rsidP="006C7233">
            <w:pPr>
              <w:spacing w:line="240" w:lineRule="auto"/>
              <w:jc w:val="center"/>
              <w:rPr>
                <w:rFonts w:ascii="Times New Roman" w:eastAsia="Times New Roman" w:hAnsi="Times New Roman" w:cs="Times New Roman"/>
                <w:sz w:val="24"/>
                <w:szCs w:val="24"/>
                <w:lang w:val="en-US"/>
              </w:rPr>
            </w:pPr>
            <w:r w:rsidRPr="006C7233">
              <w:rPr>
                <w:rFonts w:eastAsia="Times New Roman"/>
                <w:color w:val="000000"/>
                <w:lang w:val="en-US"/>
              </w:rPr>
              <w:t>3</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43A41E5C" w14:textId="77777777" w:rsidR="006C7233" w:rsidRPr="006C7233" w:rsidRDefault="006C7233" w:rsidP="006C7233">
            <w:pPr>
              <w:spacing w:line="240" w:lineRule="auto"/>
              <w:jc w:val="center"/>
              <w:rPr>
                <w:rFonts w:ascii="Times New Roman" w:eastAsia="Times New Roman" w:hAnsi="Times New Roman" w:cs="Times New Roman"/>
                <w:sz w:val="24"/>
                <w:szCs w:val="24"/>
                <w:lang w:val="en-US"/>
              </w:rPr>
            </w:pPr>
            <w:r w:rsidRPr="006C7233">
              <w:rPr>
                <w:rFonts w:eastAsia="Times New Roman"/>
                <w:color w:val="000000"/>
                <w:lang w:val="en-US"/>
              </w:rPr>
              <w:t>Every 4-16 weeks</w:t>
            </w:r>
          </w:p>
        </w:tc>
      </w:tr>
    </w:tbl>
    <w:p w14:paraId="166DC1D3" w14:textId="0DA16672" w:rsidR="006C7233" w:rsidRPr="007637DE" w:rsidRDefault="007637DE" w:rsidP="007637DE">
      <w:pPr>
        <w:jc w:val="center"/>
        <w:rPr>
          <w:sz w:val="16"/>
          <w:szCs w:val="16"/>
        </w:rPr>
      </w:pPr>
      <w:r w:rsidRPr="007637DE">
        <w:rPr>
          <w:sz w:val="16"/>
          <w:szCs w:val="16"/>
        </w:rPr>
        <w:t>*only 56 of these eyes are included in the OLIVES dataset</w:t>
      </w:r>
      <w:r w:rsidR="006C7233" w:rsidRPr="007637DE">
        <w:rPr>
          <w:sz w:val="16"/>
          <w:szCs w:val="16"/>
        </w:rPr>
        <w:br w:type="page"/>
      </w:r>
    </w:p>
    <w:p w14:paraId="0000005E" w14:textId="4F1D2BD2" w:rsidR="00802B75" w:rsidRPr="0058797A" w:rsidRDefault="0058797A" w:rsidP="00CF69D3">
      <w:pPr>
        <w:rPr>
          <w:i/>
        </w:rPr>
      </w:pPr>
      <w:r w:rsidRPr="0058797A">
        <w:rPr>
          <w:i/>
        </w:rPr>
        <w:lastRenderedPageBreak/>
        <w:t xml:space="preserve">These summaries serve to outline the PRIME and TREX-DME clinical trials. Please refer to the published manuscripts for more information. </w:t>
      </w:r>
      <w:r w:rsidR="006C7233" w:rsidRPr="0058797A">
        <w:rPr>
          <w:i/>
        </w:rPr>
        <w:br w:type="page"/>
      </w:r>
    </w:p>
    <w:p w14:paraId="42F8EAF2" w14:textId="18209588" w:rsidR="00CF69D3" w:rsidRDefault="006C7233" w:rsidP="00CF69D3">
      <w:pPr>
        <w:pStyle w:val="Heading2"/>
      </w:pPr>
      <w:bookmarkStart w:id="1" w:name="_p4q8ss2vqdc4" w:colFirst="0" w:colLast="0"/>
      <w:bookmarkEnd w:id="1"/>
      <w:r>
        <w:lastRenderedPageBreak/>
        <w:t>PRIME acronyms</w:t>
      </w:r>
    </w:p>
    <w:p w14:paraId="1DF6B41C" w14:textId="00AD04DC" w:rsidR="00CF69D3" w:rsidRDefault="00CF69D3" w:rsidP="00CF69D3"/>
    <w:p w14:paraId="4C1431AD" w14:textId="75425E83" w:rsidR="00505D89" w:rsidRPr="00505D89" w:rsidRDefault="00505D89" w:rsidP="00CF69D3">
      <w:r>
        <w:rPr>
          <w:b/>
        </w:rPr>
        <w:t>BCVA</w:t>
      </w:r>
      <w:r>
        <w:t xml:space="preserve"> = best-corrected visual acuity</w:t>
      </w:r>
    </w:p>
    <w:p w14:paraId="78DF1FB8" w14:textId="227FA28C" w:rsidR="00505D89" w:rsidRDefault="00505D89" w:rsidP="00CF69D3">
      <w:r w:rsidRPr="00505D89">
        <w:rPr>
          <w:b/>
        </w:rPr>
        <w:t>CFP</w:t>
      </w:r>
      <w:r>
        <w:t xml:space="preserve"> = color fundus photography</w:t>
      </w:r>
    </w:p>
    <w:p w14:paraId="6942A6F0" w14:textId="2A0BB605" w:rsidR="00CF69D3" w:rsidRDefault="00CF69D3" w:rsidP="00CF69D3">
      <w:r w:rsidRPr="00CF69D3">
        <w:rPr>
          <w:b/>
          <w:bCs/>
        </w:rPr>
        <w:t>CST</w:t>
      </w:r>
      <w:r>
        <w:t xml:space="preserve"> = central subfield thickness (similar to CRT, CFT, etc.)</w:t>
      </w:r>
    </w:p>
    <w:p w14:paraId="3D0B38A7" w14:textId="66AFD5F3" w:rsidR="00CF69D3" w:rsidRDefault="00CF69D3" w:rsidP="00CF69D3">
      <w:r w:rsidRPr="00CF69D3">
        <w:rPr>
          <w:b/>
          <w:bCs/>
        </w:rPr>
        <w:t>DME</w:t>
      </w:r>
      <w:r>
        <w:t xml:space="preserve"> = diabetic macular edema</w:t>
      </w:r>
    </w:p>
    <w:p w14:paraId="728934FC" w14:textId="2C6327C3" w:rsidR="00CF69D3" w:rsidRDefault="00CF69D3" w:rsidP="00CF69D3">
      <w:r w:rsidRPr="00CF69D3">
        <w:rPr>
          <w:b/>
          <w:bCs/>
        </w:rPr>
        <w:t>DR</w:t>
      </w:r>
      <w:r>
        <w:t xml:space="preserve"> = diabetic retinopathy</w:t>
      </w:r>
    </w:p>
    <w:p w14:paraId="14C28AFB" w14:textId="40243E30" w:rsidR="00CF69D3" w:rsidRDefault="00CF69D3" w:rsidP="00CF69D3">
      <w:r w:rsidRPr="00CF69D3">
        <w:rPr>
          <w:b/>
          <w:bCs/>
        </w:rPr>
        <w:t>DRSS</w:t>
      </w:r>
      <w:r>
        <w:t xml:space="preserve"> = diabetic retinopathy severity scale</w:t>
      </w:r>
    </w:p>
    <w:p w14:paraId="49728969" w14:textId="43B61F09" w:rsidR="00505D89" w:rsidRDefault="00505D89" w:rsidP="00CF69D3">
      <w:r w:rsidRPr="00505D89">
        <w:rPr>
          <w:b/>
        </w:rPr>
        <w:t>ETDRS</w:t>
      </w:r>
      <w:r>
        <w:t xml:space="preserve"> = Early Treatment Diabetic Retinopathy Study</w:t>
      </w:r>
    </w:p>
    <w:p w14:paraId="065A7429" w14:textId="58A36921" w:rsidR="00CF69D3" w:rsidRDefault="00CF69D3" w:rsidP="00CF69D3">
      <w:r w:rsidRPr="00CF69D3">
        <w:rPr>
          <w:b/>
          <w:bCs/>
        </w:rPr>
        <w:t>FP</w:t>
      </w:r>
      <w:r>
        <w:t xml:space="preserve"> = fundus photography</w:t>
      </w:r>
    </w:p>
    <w:p w14:paraId="57270C7B" w14:textId="2D26D22F" w:rsidR="00CF69D3" w:rsidRDefault="00CF69D3" w:rsidP="00CF69D3">
      <w:r w:rsidRPr="00CF69D3">
        <w:rPr>
          <w:b/>
          <w:bCs/>
        </w:rPr>
        <w:t>IAI</w:t>
      </w:r>
      <w:r>
        <w:t xml:space="preserve"> = intravitreal </w:t>
      </w:r>
      <w:proofErr w:type="spellStart"/>
      <w:r>
        <w:t>aflibercept</w:t>
      </w:r>
      <w:proofErr w:type="spellEnd"/>
      <w:r>
        <w:t xml:space="preserve"> injections</w:t>
      </w:r>
    </w:p>
    <w:p w14:paraId="2B277198" w14:textId="201B48E1" w:rsidR="00CF69D3" w:rsidRDefault="00CF69D3" w:rsidP="00CF69D3">
      <w:r w:rsidRPr="00CF69D3">
        <w:rPr>
          <w:b/>
          <w:bCs/>
        </w:rPr>
        <w:t>NPDR</w:t>
      </w:r>
      <w:r>
        <w:t xml:space="preserve"> = non-pro</w:t>
      </w:r>
      <w:r w:rsidR="00F23068">
        <w:t>liferative diabetic retinopathy</w:t>
      </w:r>
    </w:p>
    <w:p w14:paraId="233D8DD7" w14:textId="255550A6" w:rsidR="00CF69D3" w:rsidRDefault="00505D89" w:rsidP="00CF69D3">
      <w:r>
        <w:rPr>
          <w:b/>
          <w:bCs/>
        </w:rPr>
        <w:t>SD-</w:t>
      </w:r>
      <w:r w:rsidR="00CF69D3" w:rsidRPr="00CF69D3">
        <w:rPr>
          <w:b/>
          <w:bCs/>
        </w:rPr>
        <w:t>OCT</w:t>
      </w:r>
      <w:r w:rsidR="00CF69D3">
        <w:t xml:space="preserve"> = </w:t>
      </w:r>
      <w:r>
        <w:t xml:space="preserve">spectral-domain </w:t>
      </w:r>
      <w:r w:rsidR="00CF69D3">
        <w:t>optical coherence tomography</w:t>
      </w:r>
    </w:p>
    <w:p w14:paraId="0B773EBC" w14:textId="78A9759E" w:rsidR="00CF69D3" w:rsidRDefault="00CF69D3" w:rsidP="00CF69D3">
      <w:r w:rsidRPr="00CF69D3">
        <w:rPr>
          <w:b/>
          <w:bCs/>
        </w:rPr>
        <w:t>PDR</w:t>
      </w:r>
      <w:r>
        <w:t xml:space="preserve"> = proliferative diabetic retinopathy</w:t>
      </w:r>
    </w:p>
    <w:p w14:paraId="28360EAC" w14:textId="7208F7AD" w:rsidR="00505D89" w:rsidRDefault="00CF69D3" w:rsidP="00CF69D3">
      <w:r w:rsidRPr="00CF69D3">
        <w:rPr>
          <w:b/>
          <w:bCs/>
        </w:rPr>
        <w:t>PLI</w:t>
      </w:r>
      <w:r>
        <w:t xml:space="preserve"> = </w:t>
      </w:r>
      <w:proofErr w:type="spellStart"/>
      <w:r>
        <w:t>panretinal</w:t>
      </w:r>
      <w:proofErr w:type="spellEnd"/>
      <w:r>
        <w:t xml:space="preserve"> leakage index</w:t>
      </w:r>
    </w:p>
    <w:p w14:paraId="568BA2B4" w14:textId="6E820EE5" w:rsidR="00CF69D3" w:rsidRDefault="00CF69D3" w:rsidP="00CF69D3">
      <w:r w:rsidRPr="00CF69D3">
        <w:rPr>
          <w:b/>
          <w:bCs/>
        </w:rPr>
        <w:t>PRIME</w:t>
      </w:r>
      <w:r>
        <w:t xml:space="preserve"> = Intravitreal </w:t>
      </w:r>
      <w:proofErr w:type="spellStart"/>
      <w:r>
        <w:t>Aflibercept</w:t>
      </w:r>
      <w:proofErr w:type="spellEnd"/>
      <w:r>
        <w:t xml:space="preserve"> as Indicated by Real-Time Objective Imaging to Achieve Diabetic Retinopathy Improvement</w:t>
      </w:r>
    </w:p>
    <w:p w14:paraId="45EDB16D" w14:textId="5503B83C" w:rsidR="00CF69D3" w:rsidRDefault="00CF69D3" w:rsidP="00CF69D3">
      <w:r w:rsidRPr="00CF69D3">
        <w:rPr>
          <w:b/>
          <w:bCs/>
        </w:rPr>
        <w:t>PRN</w:t>
      </w:r>
      <w:r>
        <w:t xml:space="preserve"> = </w:t>
      </w:r>
      <w:r w:rsidR="00505D89">
        <w:rPr>
          <w:i/>
          <w:iCs/>
        </w:rPr>
        <w:t xml:space="preserve">pro re </w:t>
      </w:r>
      <w:proofErr w:type="spellStart"/>
      <w:r w:rsidR="00505D89">
        <w:rPr>
          <w:i/>
          <w:iCs/>
        </w:rPr>
        <w:t>nata</w:t>
      </w:r>
      <w:proofErr w:type="spellEnd"/>
      <w:r w:rsidR="00505D89">
        <w:rPr>
          <w:i/>
          <w:iCs/>
        </w:rPr>
        <w:t xml:space="preserve"> </w:t>
      </w:r>
      <w:r w:rsidR="00505D89">
        <w:rPr>
          <w:iCs/>
        </w:rPr>
        <w:t>(</w:t>
      </w:r>
      <w:r>
        <w:t>as needed)</w:t>
      </w:r>
    </w:p>
    <w:p w14:paraId="0ABFBE07" w14:textId="49A0ABDE" w:rsidR="00505D89" w:rsidRDefault="00505D89" w:rsidP="00CF69D3">
      <w:r w:rsidRPr="00505D89">
        <w:rPr>
          <w:b/>
        </w:rPr>
        <w:t>PRP</w:t>
      </w:r>
      <w:r>
        <w:t xml:space="preserve"> = </w:t>
      </w:r>
      <w:proofErr w:type="spellStart"/>
      <w:r>
        <w:t>panretinal</w:t>
      </w:r>
      <w:proofErr w:type="spellEnd"/>
      <w:r>
        <w:t xml:space="preserve"> photocoagulation</w:t>
      </w:r>
    </w:p>
    <w:p w14:paraId="3BC24913" w14:textId="4E9A8819" w:rsidR="00CF69D3" w:rsidRDefault="00CF69D3" w:rsidP="00CF69D3">
      <w:r w:rsidRPr="00CF69D3">
        <w:rPr>
          <w:b/>
          <w:bCs/>
        </w:rPr>
        <w:t>UWFA</w:t>
      </w:r>
      <w:r>
        <w:t xml:space="preserve"> = ultra-</w:t>
      </w:r>
      <w:proofErr w:type="spellStart"/>
      <w:r>
        <w:t>widefield</w:t>
      </w:r>
      <w:proofErr w:type="spellEnd"/>
      <w:r>
        <w:t xml:space="preserve"> fluorescein angiography</w:t>
      </w:r>
    </w:p>
    <w:p w14:paraId="1963FA54" w14:textId="26220E5E" w:rsidR="00505D89" w:rsidRDefault="00505D89" w:rsidP="00CF69D3">
      <w:r w:rsidRPr="00505D89">
        <w:rPr>
          <w:b/>
        </w:rPr>
        <w:t>VA</w:t>
      </w:r>
      <w:r>
        <w:t xml:space="preserve"> = visual acuity</w:t>
      </w:r>
    </w:p>
    <w:p w14:paraId="3A834856" w14:textId="57CDDDD8" w:rsidR="006C28E9" w:rsidRDefault="00F23068" w:rsidP="00CF69D3">
      <w:r>
        <w:rPr>
          <w:b/>
          <w:bCs/>
        </w:rPr>
        <w:t>VEGF</w:t>
      </w:r>
      <w:r w:rsidR="00CF69D3">
        <w:t xml:space="preserve"> = vascular</w:t>
      </w:r>
      <w:r>
        <w:t xml:space="preserve"> endothelial growth factor</w:t>
      </w:r>
    </w:p>
    <w:p w14:paraId="587FC1A6" w14:textId="77777777" w:rsidR="006C28E9" w:rsidRDefault="006C28E9">
      <w:r>
        <w:br w:type="page"/>
      </w:r>
    </w:p>
    <w:p w14:paraId="2E931B42" w14:textId="77777777" w:rsidR="006C28E9" w:rsidRPr="006C28E9" w:rsidRDefault="006C28E9" w:rsidP="006C28E9">
      <w:pPr>
        <w:pStyle w:val="Heading2"/>
      </w:pPr>
      <w:r w:rsidRPr="006C28E9">
        <w:rPr>
          <w:bCs/>
          <w:color w:val="000000"/>
        </w:rPr>
        <w:lastRenderedPageBreak/>
        <w:t>TREX-DME acronyms</w:t>
      </w:r>
    </w:p>
    <w:p w14:paraId="5C8986BF" w14:textId="23A4B7B6" w:rsidR="006C28E9" w:rsidRDefault="006C28E9" w:rsidP="006C28E9"/>
    <w:p w14:paraId="739946EA" w14:textId="77777777" w:rsidR="00F23068" w:rsidRDefault="00F23068" w:rsidP="00F23068">
      <w:r>
        <w:rPr>
          <w:b/>
        </w:rPr>
        <w:t>BCVA</w:t>
      </w:r>
      <w:r>
        <w:t xml:space="preserve"> = best-corrected visual acuity</w:t>
      </w:r>
    </w:p>
    <w:p w14:paraId="06043771" w14:textId="76B221D3" w:rsidR="006C28E9" w:rsidRDefault="006C28E9" w:rsidP="00F23068">
      <w:pPr>
        <w:rPr>
          <w:color w:val="000000"/>
        </w:rPr>
      </w:pPr>
      <w:r w:rsidRPr="006C28E9">
        <w:rPr>
          <w:b/>
          <w:color w:val="000000"/>
        </w:rPr>
        <w:t>CRT</w:t>
      </w:r>
      <w:r w:rsidR="006437C3">
        <w:rPr>
          <w:color w:val="000000"/>
        </w:rPr>
        <w:t xml:space="preserve"> =</w:t>
      </w:r>
      <w:r>
        <w:rPr>
          <w:color w:val="000000"/>
        </w:rPr>
        <w:t xml:space="preserve"> central retinal thickness</w:t>
      </w:r>
    </w:p>
    <w:p w14:paraId="2AC887B3" w14:textId="2CB58D6A" w:rsidR="00F23068" w:rsidRPr="00F23068" w:rsidRDefault="00F23068" w:rsidP="00F23068">
      <w:r w:rsidRPr="00F23068">
        <w:rPr>
          <w:b/>
          <w:color w:val="000000"/>
        </w:rPr>
        <w:t>DM</w:t>
      </w:r>
      <w:r>
        <w:rPr>
          <w:color w:val="000000"/>
        </w:rPr>
        <w:t xml:space="preserve"> = diabetes mellitus</w:t>
      </w:r>
    </w:p>
    <w:p w14:paraId="205F6B40" w14:textId="6FB4D77B" w:rsidR="004F5D86" w:rsidRDefault="004F5D86" w:rsidP="006C28E9">
      <w:pPr>
        <w:pStyle w:val="NormalWeb"/>
        <w:spacing w:before="0" w:beforeAutospacing="0" w:after="0" w:afterAutospacing="0"/>
        <w:rPr>
          <w:rFonts w:ascii="Arial" w:hAnsi="Arial" w:cs="Arial"/>
          <w:color w:val="000000"/>
          <w:sz w:val="22"/>
          <w:szCs w:val="22"/>
        </w:rPr>
      </w:pPr>
      <w:r w:rsidRPr="004F5D86">
        <w:rPr>
          <w:rFonts w:ascii="Arial" w:hAnsi="Arial" w:cs="Arial"/>
          <w:b/>
          <w:color w:val="000000"/>
          <w:sz w:val="22"/>
          <w:szCs w:val="22"/>
        </w:rPr>
        <w:t>DME</w:t>
      </w:r>
      <w:r>
        <w:rPr>
          <w:rFonts w:ascii="Arial" w:hAnsi="Arial" w:cs="Arial"/>
          <w:color w:val="000000"/>
          <w:sz w:val="22"/>
          <w:szCs w:val="22"/>
        </w:rPr>
        <w:t xml:space="preserve"> = diabetic macular edema</w:t>
      </w:r>
    </w:p>
    <w:p w14:paraId="27DE01BD" w14:textId="0CAEA79B" w:rsidR="006437C3" w:rsidRDefault="006437C3" w:rsidP="006C28E9">
      <w:pPr>
        <w:pStyle w:val="NormalWeb"/>
        <w:spacing w:before="0" w:beforeAutospacing="0" w:after="0" w:afterAutospacing="0"/>
        <w:rPr>
          <w:rFonts w:ascii="Arial" w:hAnsi="Arial" w:cs="Arial"/>
          <w:color w:val="000000"/>
          <w:sz w:val="22"/>
          <w:szCs w:val="22"/>
        </w:rPr>
      </w:pPr>
      <w:r w:rsidRPr="006C28E9">
        <w:rPr>
          <w:rFonts w:ascii="Arial" w:hAnsi="Arial" w:cs="Arial"/>
          <w:b/>
          <w:color w:val="000000"/>
          <w:sz w:val="22"/>
          <w:szCs w:val="22"/>
        </w:rPr>
        <w:t>DRCRN</w:t>
      </w:r>
      <w:r>
        <w:rPr>
          <w:rFonts w:ascii="Arial" w:hAnsi="Arial" w:cs="Arial"/>
          <w:color w:val="000000"/>
          <w:sz w:val="22"/>
          <w:szCs w:val="22"/>
        </w:rPr>
        <w:t xml:space="preserve"> = Diabetic Retinopathy Clinical Research Network</w:t>
      </w:r>
    </w:p>
    <w:p w14:paraId="2360938B" w14:textId="713A5154" w:rsidR="00F23068" w:rsidRPr="006437C3" w:rsidRDefault="00F23068" w:rsidP="00F23068">
      <w:r w:rsidRPr="00505D89">
        <w:rPr>
          <w:b/>
        </w:rPr>
        <w:t>ETDRS</w:t>
      </w:r>
      <w:r>
        <w:t xml:space="preserve"> = Early Treatment Diabetic Retinopathy Study</w:t>
      </w:r>
    </w:p>
    <w:p w14:paraId="346011AD" w14:textId="5490E50B" w:rsidR="006437C3" w:rsidRDefault="006437C3" w:rsidP="006C28E9">
      <w:pPr>
        <w:pStyle w:val="NormalWeb"/>
        <w:spacing w:before="0" w:beforeAutospacing="0" w:after="0" w:afterAutospacing="0"/>
        <w:rPr>
          <w:rFonts w:ascii="Arial" w:hAnsi="Arial" w:cs="Arial"/>
          <w:color w:val="000000"/>
          <w:sz w:val="22"/>
          <w:szCs w:val="22"/>
        </w:rPr>
      </w:pPr>
      <w:r w:rsidRPr="006C28E9">
        <w:rPr>
          <w:rFonts w:ascii="Arial" w:hAnsi="Arial" w:cs="Arial"/>
          <w:b/>
          <w:color w:val="000000"/>
          <w:sz w:val="22"/>
          <w:szCs w:val="22"/>
        </w:rPr>
        <w:t>GILA</w:t>
      </w:r>
      <w:r>
        <w:rPr>
          <w:rFonts w:ascii="Arial" w:hAnsi="Arial" w:cs="Arial"/>
          <w:color w:val="000000"/>
          <w:sz w:val="22"/>
          <w:szCs w:val="22"/>
        </w:rPr>
        <w:t xml:space="preserve"> = treat and extend with </w:t>
      </w:r>
      <w:proofErr w:type="gramStart"/>
      <w:r>
        <w:rPr>
          <w:rFonts w:ascii="Arial" w:hAnsi="Arial" w:cs="Arial"/>
          <w:color w:val="000000"/>
          <w:sz w:val="22"/>
          <w:szCs w:val="22"/>
        </w:rPr>
        <w:t>angiography</w:t>
      </w:r>
      <w:proofErr w:type="gramEnd"/>
      <w:r>
        <w:rPr>
          <w:rFonts w:ascii="Arial" w:hAnsi="Arial" w:cs="Arial"/>
          <w:color w:val="000000"/>
          <w:sz w:val="22"/>
          <w:szCs w:val="22"/>
        </w:rPr>
        <w:t>-</w:t>
      </w:r>
      <w:proofErr w:type="spellStart"/>
      <w:r>
        <w:rPr>
          <w:rFonts w:ascii="Arial" w:hAnsi="Arial" w:cs="Arial"/>
          <w:color w:val="000000"/>
          <w:sz w:val="22"/>
          <w:szCs w:val="22"/>
        </w:rPr>
        <w:t>GuIded</w:t>
      </w:r>
      <w:proofErr w:type="spellEnd"/>
      <w:r>
        <w:rPr>
          <w:rFonts w:ascii="Arial" w:hAnsi="Arial" w:cs="Arial"/>
          <w:color w:val="000000"/>
          <w:sz w:val="22"/>
          <w:szCs w:val="22"/>
        </w:rPr>
        <w:t xml:space="preserve"> macular </w:t>
      </w:r>
      <w:proofErr w:type="spellStart"/>
      <w:r>
        <w:rPr>
          <w:rFonts w:ascii="Arial" w:hAnsi="Arial" w:cs="Arial"/>
          <w:color w:val="000000"/>
          <w:sz w:val="22"/>
          <w:szCs w:val="22"/>
        </w:rPr>
        <w:t>LAser</w:t>
      </w:r>
      <w:proofErr w:type="spellEnd"/>
      <w:r>
        <w:rPr>
          <w:rFonts w:ascii="Arial" w:hAnsi="Arial" w:cs="Arial"/>
          <w:color w:val="000000"/>
          <w:sz w:val="22"/>
          <w:szCs w:val="22"/>
        </w:rPr>
        <w:t xml:space="preserve"> photocoagulation</w:t>
      </w:r>
    </w:p>
    <w:p w14:paraId="55AFBCAC" w14:textId="3679B8C5" w:rsidR="00F23068" w:rsidRDefault="00F23068" w:rsidP="006C28E9">
      <w:pPr>
        <w:pStyle w:val="NormalWeb"/>
        <w:spacing w:before="0" w:beforeAutospacing="0" w:after="0" w:afterAutospacing="0"/>
      </w:pPr>
      <w:r w:rsidRPr="00F23068">
        <w:rPr>
          <w:rFonts w:ascii="Arial" w:hAnsi="Arial" w:cs="Arial"/>
          <w:b/>
          <w:color w:val="000000"/>
          <w:sz w:val="22"/>
          <w:szCs w:val="22"/>
        </w:rPr>
        <w:t>IVT</w:t>
      </w:r>
      <w:r>
        <w:rPr>
          <w:rFonts w:ascii="Arial" w:hAnsi="Arial" w:cs="Arial"/>
          <w:color w:val="000000"/>
          <w:sz w:val="22"/>
          <w:szCs w:val="22"/>
        </w:rPr>
        <w:t xml:space="preserve"> = intravitreal injection</w:t>
      </w:r>
    </w:p>
    <w:p w14:paraId="6ACFA338" w14:textId="42473C5C" w:rsidR="006C28E9" w:rsidRDefault="006C28E9" w:rsidP="006C28E9">
      <w:pPr>
        <w:pStyle w:val="NormalWeb"/>
        <w:spacing w:before="0" w:beforeAutospacing="0" w:after="0" w:afterAutospacing="0"/>
      </w:pPr>
      <w:r w:rsidRPr="006C28E9">
        <w:rPr>
          <w:rFonts w:ascii="Arial" w:hAnsi="Arial" w:cs="Arial"/>
          <w:b/>
          <w:color w:val="000000"/>
          <w:sz w:val="22"/>
          <w:szCs w:val="22"/>
        </w:rPr>
        <w:t>LOESS</w:t>
      </w:r>
      <w:r w:rsidR="006437C3">
        <w:rPr>
          <w:rFonts w:ascii="Arial" w:hAnsi="Arial" w:cs="Arial"/>
          <w:color w:val="000000"/>
          <w:sz w:val="22"/>
          <w:szCs w:val="22"/>
        </w:rPr>
        <w:t xml:space="preserve"> =</w:t>
      </w:r>
      <w:r>
        <w:rPr>
          <w:rFonts w:ascii="Arial" w:hAnsi="Arial" w:cs="Arial"/>
          <w:color w:val="000000"/>
          <w:sz w:val="22"/>
          <w:szCs w:val="22"/>
        </w:rPr>
        <w:t xml:space="preserve"> locally weighted regression</w:t>
      </w:r>
    </w:p>
    <w:p w14:paraId="5B3A7633" w14:textId="77777777" w:rsidR="006437C3" w:rsidRDefault="006437C3" w:rsidP="006437C3">
      <w:pPr>
        <w:pStyle w:val="NormalWeb"/>
        <w:spacing w:before="0" w:beforeAutospacing="0" w:after="0" w:afterAutospacing="0"/>
        <w:rPr>
          <w:rFonts w:ascii="Arial" w:hAnsi="Arial" w:cs="Arial"/>
          <w:color w:val="000000"/>
          <w:sz w:val="22"/>
          <w:szCs w:val="22"/>
        </w:rPr>
      </w:pPr>
      <w:r w:rsidRPr="006C28E9">
        <w:rPr>
          <w:rFonts w:ascii="Arial" w:hAnsi="Arial" w:cs="Arial"/>
          <w:b/>
          <w:color w:val="000000"/>
          <w:sz w:val="22"/>
          <w:szCs w:val="22"/>
        </w:rPr>
        <w:t>TREX</w:t>
      </w:r>
      <w:r>
        <w:rPr>
          <w:rFonts w:ascii="Arial" w:hAnsi="Arial" w:cs="Arial"/>
          <w:color w:val="000000"/>
          <w:sz w:val="22"/>
          <w:szCs w:val="22"/>
        </w:rPr>
        <w:t xml:space="preserve"> = </w:t>
      </w:r>
      <w:proofErr w:type="spellStart"/>
      <w:r>
        <w:rPr>
          <w:rFonts w:ascii="Arial" w:hAnsi="Arial" w:cs="Arial"/>
          <w:color w:val="000000"/>
          <w:sz w:val="22"/>
          <w:szCs w:val="22"/>
        </w:rPr>
        <w:t>TReat</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EXtend</w:t>
      </w:r>
      <w:proofErr w:type="spellEnd"/>
      <w:r>
        <w:rPr>
          <w:rFonts w:ascii="Arial" w:hAnsi="Arial" w:cs="Arial"/>
          <w:color w:val="000000"/>
          <w:sz w:val="22"/>
          <w:szCs w:val="22"/>
        </w:rPr>
        <w:t xml:space="preserve"> without macular laser photocoagulation</w:t>
      </w:r>
    </w:p>
    <w:p w14:paraId="0BBE8F8C" w14:textId="0F381AFF" w:rsidR="00F23068" w:rsidRDefault="006437C3" w:rsidP="00F36781">
      <w:pPr>
        <w:pStyle w:val="NormalWeb"/>
        <w:spacing w:before="0" w:beforeAutospacing="0" w:after="0" w:afterAutospacing="0"/>
        <w:rPr>
          <w:rFonts w:ascii="Arial" w:hAnsi="Arial" w:cs="Arial"/>
          <w:color w:val="000000"/>
          <w:sz w:val="22"/>
          <w:szCs w:val="22"/>
        </w:rPr>
      </w:pPr>
      <w:r>
        <w:rPr>
          <w:rFonts w:ascii="Arial" w:hAnsi="Arial" w:cs="Arial"/>
          <w:b/>
          <w:color w:val="000000"/>
          <w:sz w:val="22"/>
          <w:szCs w:val="22"/>
        </w:rPr>
        <w:t>T/E</w:t>
      </w:r>
      <w:r>
        <w:rPr>
          <w:rFonts w:ascii="Arial" w:hAnsi="Arial" w:cs="Arial"/>
          <w:color w:val="000000"/>
          <w:sz w:val="22"/>
          <w:szCs w:val="22"/>
        </w:rPr>
        <w:t xml:space="preserve"> = treat and exten</w:t>
      </w:r>
      <w:bookmarkStart w:id="2" w:name="_lr3kd3pggqak" w:colFirst="0" w:colLast="0"/>
      <w:bookmarkEnd w:id="2"/>
      <w:r w:rsidR="00F23068">
        <w:rPr>
          <w:rFonts w:ascii="Arial" w:hAnsi="Arial" w:cs="Arial"/>
          <w:color w:val="000000"/>
          <w:sz w:val="22"/>
          <w:szCs w:val="22"/>
        </w:rPr>
        <w:t>d</w:t>
      </w:r>
    </w:p>
    <w:p w14:paraId="76706DF1" w14:textId="69446C8A" w:rsidR="00F23068" w:rsidRDefault="00F23068" w:rsidP="00F36781">
      <w:pPr>
        <w:pStyle w:val="NormalWeb"/>
        <w:spacing w:before="0" w:beforeAutospacing="0" w:after="0" w:afterAutospacing="0"/>
        <w:rPr>
          <w:rFonts w:ascii="Arial" w:hAnsi="Arial" w:cs="Arial"/>
          <w:color w:val="000000"/>
          <w:sz w:val="22"/>
          <w:szCs w:val="22"/>
        </w:rPr>
      </w:pPr>
      <w:r w:rsidRPr="00F23068">
        <w:rPr>
          <w:rFonts w:ascii="Arial" w:hAnsi="Arial" w:cs="Arial"/>
          <w:b/>
          <w:color w:val="000000"/>
          <w:sz w:val="22"/>
          <w:szCs w:val="22"/>
        </w:rPr>
        <w:t>VA</w:t>
      </w:r>
      <w:r>
        <w:rPr>
          <w:rFonts w:ascii="Arial" w:hAnsi="Arial" w:cs="Arial"/>
          <w:color w:val="000000"/>
          <w:sz w:val="22"/>
          <w:szCs w:val="22"/>
        </w:rPr>
        <w:t xml:space="preserve"> = visual acuity</w:t>
      </w:r>
    </w:p>
    <w:p w14:paraId="000001A6" w14:textId="16C49941" w:rsidR="00802B75" w:rsidRDefault="00F23068" w:rsidP="00F36781">
      <w:pPr>
        <w:pStyle w:val="NormalWeb"/>
        <w:spacing w:before="0" w:beforeAutospacing="0" w:after="0" w:afterAutospacing="0"/>
      </w:pPr>
      <w:r w:rsidRPr="00F23068">
        <w:rPr>
          <w:rFonts w:ascii="Arial" w:hAnsi="Arial" w:cs="Arial"/>
          <w:b/>
          <w:color w:val="000000"/>
          <w:sz w:val="22"/>
          <w:szCs w:val="22"/>
        </w:rPr>
        <w:t>VEGF</w:t>
      </w:r>
      <w:r>
        <w:rPr>
          <w:rFonts w:ascii="Arial" w:hAnsi="Arial" w:cs="Arial"/>
          <w:color w:val="000000"/>
          <w:sz w:val="22"/>
          <w:szCs w:val="22"/>
        </w:rPr>
        <w:t xml:space="preserve"> = vascular endothelial growth factor</w:t>
      </w:r>
      <w:r w:rsidR="006C7233">
        <w:br w:type="page"/>
      </w:r>
    </w:p>
    <w:p w14:paraId="000001A7" w14:textId="7A51AC44" w:rsidR="00802B75" w:rsidRDefault="006C7233">
      <w:pPr>
        <w:pStyle w:val="Heading2"/>
      </w:pPr>
      <w:bookmarkStart w:id="3" w:name="_mn77bbww3j33" w:colFirst="0" w:colLast="0"/>
      <w:bookmarkEnd w:id="3"/>
      <w:r>
        <w:lastRenderedPageBreak/>
        <w:t>PRIME</w:t>
      </w:r>
    </w:p>
    <w:p w14:paraId="000001A8" w14:textId="77777777" w:rsidR="00802B75" w:rsidRDefault="00802B75"/>
    <w:p w14:paraId="000001A9" w14:textId="160CC5AA" w:rsidR="00802B75" w:rsidRDefault="006C7233">
      <w:pPr>
        <w:rPr>
          <w:b/>
        </w:rPr>
      </w:pPr>
      <w:r>
        <w:rPr>
          <w:b/>
        </w:rPr>
        <w:t>Real-time Photographic- and Fluorescein Angiographic-Guided Management of Diabetic Retinopathy:</w:t>
      </w:r>
      <w:r w:rsidR="00BD5D03">
        <w:rPr>
          <w:b/>
        </w:rPr>
        <w:t xml:space="preserve"> </w:t>
      </w:r>
      <w:r>
        <w:rPr>
          <w:b/>
        </w:rPr>
        <w:t>Randomized PRIME Trial Outcomes</w:t>
      </w:r>
      <w:r w:rsidR="00B40100">
        <w:rPr>
          <w:b/>
        </w:rPr>
        <w:fldChar w:fldCharType="begin"/>
      </w:r>
      <w:r w:rsidR="00B40100">
        <w:rPr>
          <w:b/>
        </w:rPr>
        <w:instrText xml:space="preserve"> ADDIN ZOTERO_ITEM CSL_CITATION {"citationID":"xTIA1nLE","properties":{"formattedCitation":"\\super 1\\nosupersub{}","plainCitation":"1","noteIndex":0},"citationItems":[{"id":137,"uris":["http://zotero.org/users/local/VCYpCIhB/items/B58V9CCX"],"itemData":{"id":137,"type":"article-journal","container-title":"American Journal of Ophthalmology","DOI":"10.1016/j.ajo.2021.01.024","ISSN":"00029394","journalAbbreviation":"American Journal of Ophthalmology","language":"en","page":"126-136","source":"DOI.org (Crossref)","title":"Real-Time Photographic- and Fluorescein Angiographic-Guided Management of Diabetic Retinopathy: Randomized PRIME Trial Outcomes","title-short":"Real-Time Photographic- and Fluorescein Angiographic-Guided Management of Diabetic Retinopathy","volume":"226","author":[{"family":"Yu","given":"Hannah J."},{"family":"Ehlers","given":"Justis P."},{"family":"Sevgi","given":"Duriye Damla"},{"family":"Hach","given":"Jenna"},{"family":"O'Connell","given":"Margaret"},{"family":"Reese","given":"Jamie L."},{"family":"Srivastava","given":"Sunil K."},{"family":"Wykoff","given":"Charles C."}],"issued":{"date-parts":[["2021",6]]}}}],"schema":"https://github.com/citation-style-language/schema/raw/master/csl-citation.json"} </w:instrText>
      </w:r>
      <w:r w:rsidR="00B40100">
        <w:rPr>
          <w:b/>
        </w:rPr>
        <w:fldChar w:fldCharType="separate"/>
      </w:r>
      <w:r w:rsidR="00B40100" w:rsidRPr="00B40100">
        <w:rPr>
          <w:szCs w:val="24"/>
          <w:vertAlign w:val="superscript"/>
        </w:rPr>
        <w:t>1</w:t>
      </w:r>
      <w:r w:rsidR="00B40100">
        <w:rPr>
          <w:b/>
        </w:rPr>
        <w:fldChar w:fldCharType="end"/>
      </w:r>
    </w:p>
    <w:p w14:paraId="141D2BB2" w14:textId="3E21F925" w:rsidR="00690949" w:rsidRDefault="00690949">
      <w:pPr>
        <w:rPr>
          <w:b/>
        </w:rPr>
      </w:pPr>
    </w:p>
    <w:p w14:paraId="385FE419" w14:textId="5BC7501C" w:rsidR="00690949" w:rsidRDefault="00690949">
      <w:pPr>
        <w:rPr>
          <w:b/>
        </w:rPr>
      </w:pPr>
      <w:r w:rsidRPr="00690949">
        <w:rPr>
          <w:b/>
        </w:rPr>
        <w:t>Real-Time Diabetic Retinopathy Severity Score Level versus Ultra-</w:t>
      </w:r>
      <w:proofErr w:type="spellStart"/>
      <w:r w:rsidRPr="00690949">
        <w:rPr>
          <w:b/>
        </w:rPr>
        <w:t>Widefield</w:t>
      </w:r>
      <w:proofErr w:type="spellEnd"/>
      <w:r w:rsidRPr="00690949">
        <w:rPr>
          <w:b/>
        </w:rPr>
        <w:t xml:space="preserve"> Leakage Index-Guided Management of Diabetic Retinopathy: Two-Year Outcomes from the Randomized PRIME Trial</w:t>
      </w:r>
      <w:r w:rsidR="00B40100">
        <w:rPr>
          <w:b/>
        </w:rPr>
        <w:fldChar w:fldCharType="begin"/>
      </w:r>
      <w:r w:rsidR="00B40100">
        <w:rPr>
          <w:b/>
        </w:rPr>
        <w:instrText xml:space="preserve"> ADDIN ZOTERO_ITEM CSL_CITATION {"citationID":"QoXYDefC","properties":{"formattedCitation":"\\super 2\\nosupersub{}","plainCitation":"2","noteIndex":0},"citationItems":[{"id":538,"uris":["http://zotero.org/users/local/VCYpCIhB/items/P35UBURE"],"itemData":{"id":538,"type":"article-journal","abstract":"The prospective PRIME trial applied real-time, objective imaging biomarkers to determine individualized retreatment needs with intravitreal aflibercept injections  (IAI) among eyes with diabetic retinopathy (DR). 40 eyes with nonproliferative or  proliferative DR without diabetic macular edema received monthly IAI until a DR  severity scale (DRSS) level improvement of ≥2 steps was achieved. Eyes were  randomized 1:1 to DRSS- or PLI- guided management. At the final 2-year visit, DRSS  level was stable or improved compared to baseline in all eyes, and mean PLI  decreased by 11% (p = 0.73) and 23.6% (p = 0.25) in the DRSS- and PLI-guided arms.  In both arms, the percent of pro re nata (PRN) visits requiring IAI was  significantly higher in year 2 versus 1 (p &lt; 0.0001). The percent of PRN visits  receiving IAI during year 1 was significantly correlated with the percent of PRN  visits with IAI during year 2 (p &lt; 0.0001). Through week 104, 77.4% of instances of  DRSS level worsening in the DRSS-guided arm were preceded by or occurred alongside  an increase of PLI. Overall, consistent IAI re-treatment interval requirements were  observed longitudinally among individual patients. Additionally, PLI increases  appeared to precede DRSS level worsening, highlighting PLI as a valuable biomarker  in the management of DR.","container-title":"Journal of personalized medicine","DOI":"10.3390/jpm11090885","ISSN":"2075-4426","issue":"9","journalAbbreviation":"J Pers Med","language":"eng","note":"PMID: 34575662 \nPMCID: PMC8465170","title":"Real-Time Diabetic Retinopathy Severity Score Level versus Ultra-Widefield Leakage Index-Guided Management of Diabetic Retinopathy: Two-Year Outcomes from the  Randomized PRIME Trial.","volume":"11","author":[{"family":"Yu","given":"Hannah J."},{"family":"Ehlers","given":"Justis P."},{"family":"Sevgi","given":"Duriye Damla"},{"family":"O'Connell","given":"Margaret"},{"family":"Reese","given":"Jamie L."},{"family":"Srivastava","given":"Sunil K."},{"family":"Wykoff","given":"Charles C."}],"issued":{"date-parts":[["2021",9,4]]}}}],"schema":"https://github.com/citation-style-language/schema/raw/master/csl-citation.json"} </w:instrText>
      </w:r>
      <w:r w:rsidR="00B40100">
        <w:rPr>
          <w:b/>
        </w:rPr>
        <w:fldChar w:fldCharType="separate"/>
      </w:r>
      <w:r w:rsidR="00B40100" w:rsidRPr="00B40100">
        <w:rPr>
          <w:szCs w:val="24"/>
          <w:vertAlign w:val="superscript"/>
        </w:rPr>
        <w:t>2</w:t>
      </w:r>
      <w:r w:rsidR="00B40100">
        <w:rPr>
          <w:b/>
        </w:rPr>
        <w:fldChar w:fldCharType="end"/>
      </w:r>
    </w:p>
    <w:p w14:paraId="000001AA" w14:textId="77777777" w:rsidR="00802B75" w:rsidRDefault="00802B75"/>
    <w:p w14:paraId="4BDC4336" w14:textId="4BF638BA" w:rsidR="00690949" w:rsidRDefault="006C7233">
      <w:r>
        <w:t>Prospective, randomized phase 2 trial</w:t>
      </w:r>
    </w:p>
    <w:p w14:paraId="000001AD" w14:textId="77777777" w:rsidR="00802B75" w:rsidRDefault="006C7233">
      <w:pPr>
        <w:pStyle w:val="Heading3"/>
      </w:pPr>
      <w:bookmarkStart w:id="4" w:name="_x6yh2bnom5ed" w:colFirst="0" w:colLast="0"/>
      <w:bookmarkEnd w:id="4"/>
      <w:r>
        <w:t>Purpose</w:t>
      </w:r>
    </w:p>
    <w:p w14:paraId="000001AE" w14:textId="6B97C380" w:rsidR="00802B75" w:rsidRDefault="006C7233" w:rsidP="00415ABE">
      <w:pPr>
        <w:numPr>
          <w:ilvl w:val="0"/>
          <w:numId w:val="14"/>
        </w:numPr>
      </w:pPr>
      <w:r>
        <w:t xml:space="preserve">Assess safety and efficacy of PRN IAI in </w:t>
      </w:r>
      <w:r w:rsidR="00411195">
        <w:t>eyes with</w:t>
      </w:r>
      <w:r w:rsidR="00505D89">
        <w:t xml:space="preserve"> </w:t>
      </w:r>
      <w:r w:rsidR="0058797A">
        <w:t>P</w:t>
      </w:r>
      <w:r w:rsidR="00505D89">
        <w:t>D</w:t>
      </w:r>
      <w:r>
        <w:t>R or NDPR without DME</w:t>
      </w:r>
    </w:p>
    <w:p w14:paraId="000001B0" w14:textId="5EE363FC" w:rsidR="00802B75" w:rsidRDefault="0023637D" w:rsidP="00FC2048">
      <w:pPr>
        <w:numPr>
          <w:ilvl w:val="0"/>
          <w:numId w:val="14"/>
        </w:numPr>
      </w:pPr>
      <w:r>
        <w:t>C</w:t>
      </w:r>
      <w:r w:rsidR="00FC2048">
        <w:t>ompare two approaches for managing DR in real-time: DRSS vs. PLI</w:t>
      </w:r>
      <w:r w:rsidR="0058797A">
        <w:t>-</w:t>
      </w:r>
      <w:r w:rsidR="00FC2048">
        <w:t>guided approach</w:t>
      </w:r>
    </w:p>
    <w:p w14:paraId="000001B1" w14:textId="77777777" w:rsidR="00802B75" w:rsidRDefault="006C7233">
      <w:pPr>
        <w:pStyle w:val="Heading3"/>
      </w:pPr>
      <w:bookmarkStart w:id="5" w:name="_f7944460hant" w:colFirst="0" w:colLast="0"/>
      <w:bookmarkEnd w:id="5"/>
      <w:r>
        <w:t>Design</w:t>
      </w:r>
    </w:p>
    <w:p w14:paraId="000001B2" w14:textId="0493EDA4" w:rsidR="00802B75" w:rsidRDefault="00FC2048" w:rsidP="00415ABE">
      <w:pPr>
        <w:numPr>
          <w:ilvl w:val="0"/>
          <w:numId w:val="8"/>
        </w:numPr>
      </w:pPr>
      <w:r>
        <w:t xml:space="preserve">40 eyes with DR </w:t>
      </w:r>
      <w:r w:rsidR="006C7233">
        <w:t>received monthl</w:t>
      </w:r>
      <w:r w:rsidR="00505D89">
        <w:t xml:space="preserve">y IAIs until </w:t>
      </w:r>
      <w:r>
        <w:t xml:space="preserve">an </w:t>
      </w:r>
      <w:r w:rsidR="00505D89">
        <w:t xml:space="preserve">improvement </w:t>
      </w:r>
      <w:r>
        <w:t xml:space="preserve">of </w:t>
      </w:r>
      <w:r w:rsidR="00505D89">
        <w:t>≥</w:t>
      </w:r>
      <w:r w:rsidR="006C7233">
        <w:t xml:space="preserve"> 2 steps</w:t>
      </w:r>
      <w:r>
        <w:t xml:space="preserve"> on the DRSS was met</w:t>
      </w:r>
    </w:p>
    <w:p w14:paraId="000001B3" w14:textId="77777777" w:rsidR="00802B75" w:rsidRDefault="006C7233" w:rsidP="00415ABE">
      <w:pPr>
        <w:numPr>
          <w:ilvl w:val="0"/>
          <w:numId w:val="8"/>
        </w:numPr>
      </w:pPr>
      <w:r>
        <w:t>DRSS-guided vs. PLI-guided management strategies</w:t>
      </w:r>
    </w:p>
    <w:p w14:paraId="000001B4" w14:textId="48D44082" w:rsidR="00802B75" w:rsidRDefault="006C7233" w:rsidP="00415ABE">
      <w:pPr>
        <w:numPr>
          <w:ilvl w:val="1"/>
          <w:numId w:val="8"/>
        </w:numPr>
      </w:pPr>
      <w:r>
        <w:t>DRSS level determined by CFP</w:t>
      </w:r>
    </w:p>
    <w:p w14:paraId="11BB9631" w14:textId="4BF9C992" w:rsidR="00A821C4" w:rsidRDefault="0008044E" w:rsidP="00415ABE">
      <w:pPr>
        <w:numPr>
          <w:ilvl w:val="2"/>
          <w:numId w:val="8"/>
        </w:numPr>
      </w:pPr>
      <w:r>
        <w:t>Graded by a trained image analyst</w:t>
      </w:r>
    </w:p>
    <w:p w14:paraId="48B6B0D1" w14:textId="168DFD63" w:rsidR="00690949" w:rsidRDefault="00690949" w:rsidP="00415ABE">
      <w:pPr>
        <w:numPr>
          <w:ilvl w:val="2"/>
          <w:numId w:val="8"/>
        </w:numPr>
      </w:pPr>
      <w:r>
        <w:t xml:space="preserve">DRSS grading scale was created in 1991, and the scale can be found </w:t>
      </w:r>
      <w:r w:rsidR="0058797A">
        <w:t>i</w:t>
      </w:r>
      <w:r>
        <w:t>n Table 11</w:t>
      </w:r>
      <w:r w:rsidR="0058797A">
        <w:t xml:space="preserve"> of ETDRS Report Number 12</w:t>
      </w:r>
      <w:r w:rsidR="0058797A">
        <w:fldChar w:fldCharType="begin"/>
      </w:r>
      <w:r w:rsidR="0058797A">
        <w:instrText xml:space="preserve"> ADDIN ZOTERO_ITEM CSL_CITATION {"citationID":"u00E2shn","properties":{"formattedCitation":"\\super 3\\nosupersub{}","plainCitation":"3","noteIndex":0},"citationItems":[{"id":3762,"uris":["http://zotero.org/users/local/VCYpCIhB/items/38ISX3QP"],"itemData":{"id":3762,"type":"article-journal","abstract":"In the Early Treatment Diabetic Retinopathy Study, a randomized clinical trial sponsored by the National Eye Institute, one eye of each patient was assigned to early photocoagulation and the other to deferral of photocoagulation (i.e., careful follow-up and initiation of photocoagulation only if highrisk proliferative retinopathy developed). This design allowed observation of the natural course of diabetic retinopathy in the initially untreated eye. Gradings of baseline stereoscopic fundus photographs of eyes with .nonproliferative retinopathy assigned to deferral of photocoagulation were used to examine the power of various abnormalities and combinations of abnormalities to predict progression to proliferative retinopathy in photographs taken at the 1-, 3-, and 5-year follow-up visits. Severity of intraretinal microvascular abnormalities, hemorrhages and/or microaneurysms, and venous beading were found to be the most important factors in predicting progression. On the basis of these analyses and other considerations, a retinopathy severity scale was developed. This scale, which divides diabetic retinopathy into 13 levels ranging from absence of retinopathy to severe vitreous hemorrhage, can be used to describe overall retinopathy severity and change in severity over time.","container-title":"Ophthalmology","DOI":"10.1016/S0161-6420(13)38014-2","ISSN":"01616420","issue":"5","journalAbbreviation":"Ophthalmology","language":"en","page":"823-833","source":"DOI.org (Crossref)","title":"Fundus Photographic Risk Factors for Progression of Diabetic Retinopathy","volume":"98","issued":{"date-parts":[["1991",5]]}}}],"schema":"https://github.com/citation-style-language/schema/raw/master/csl-citation.json"} </w:instrText>
      </w:r>
      <w:r w:rsidR="0058797A">
        <w:fldChar w:fldCharType="separate"/>
      </w:r>
      <w:r w:rsidR="0058797A" w:rsidRPr="0058797A">
        <w:rPr>
          <w:szCs w:val="24"/>
          <w:vertAlign w:val="superscript"/>
        </w:rPr>
        <w:t>3</w:t>
      </w:r>
      <w:r w:rsidR="0058797A">
        <w:fldChar w:fldCharType="end"/>
      </w:r>
    </w:p>
    <w:p w14:paraId="5CC7C69D" w14:textId="77777777" w:rsidR="00690949" w:rsidRDefault="00690949" w:rsidP="00690949">
      <w:pPr>
        <w:numPr>
          <w:ilvl w:val="3"/>
          <w:numId w:val="8"/>
        </w:numPr>
      </w:pPr>
      <w:r>
        <w:t>&lt;= 53 NPDR</w:t>
      </w:r>
    </w:p>
    <w:p w14:paraId="4E6D93B1" w14:textId="5F68C6DD" w:rsidR="00690949" w:rsidRDefault="00690949" w:rsidP="00690949">
      <w:pPr>
        <w:numPr>
          <w:ilvl w:val="3"/>
          <w:numId w:val="8"/>
        </w:numPr>
      </w:pPr>
      <w:r>
        <w:t>&gt;= 61 PDR</w:t>
      </w:r>
    </w:p>
    <w:p w14:paraId="000001B5" w14:textId="14B8217C" w:rsidR="00802B75" w:rsidRDefault="006C7233" w:rsidP="00415ABE">
      <w:pPr>
        <w:numPr>
          <w:ilvl w:val="1"/>
          <w:numId w:val="8"/>
        </w:numPr>
      </w:pPr>
      <w:r>
        <w:t>PLI determined by UWFA</w:t>
      </w:r>
    </w:p>
    <w:p w14:paraId="7F5786F0" w14:textId="7CF75DAE" w:rsidR="0008044E" w:rsidRDefault="0008044E" w:rsidP="00415ABE">
      <w:pPr>
        <w:numPr>
          <w:ilvl w:val="2"/>
          <w:numId w:val="8"/>
        </w:numPr>
      </w:pPr>
      <w:r>
        <w:t>Used early and late images</w:t>
      </w:r>
    </w:p>
    <w:p w14:paraId="18B58F21" w14:textId="56AACB5E" w:rsidR="0008044E" w:rsidRDefault="00FC2048" w:rsidP="00415ABE">
      <w:pPr>
        <w:numPr>
          <w:ilvl w:val="2"/>
          <w:numId w:val="8"/>
        </w:numPr>
      </w:pPr>
      <w:r>
        <w:t xml:space="preserve">Leakage areas were composed of </w:t>
      </w:r>
      <w:r w:rsidR="0058797A">
        <w:t>region</w:t>
      </w:r>
      <w:r>
        <w:t xml:space="preserve">s with </w:t>
      </w:r>
      <w:r w:rsidR="0008044E" w:rsidRPr="0008044E">
        <w:t xml:space="preserve">increased </w:t>
      </w:r>
      <w:proofErr w:type="spellStart"/>
      <w:r w:rsidR="0008044E" w:rsidRPr="0008044E">
        <w:t>hyper</w:t>
      </w:r>
      <w:r>
        <w:t>fluorescence</w:t>
      </w:r>
      <w:proofErr w:type="spellEnd"/>
      <w:r w:rsidR="0008044E" w:rsidRPr="0008044E">
        <w:t xml:space="preserve"> in the late phase compared to the early phase</w:t>
      </w:r>
    </w:p>
    <w:p w14:paraId="40B4D5B6" w14:textId="57939AB3" w:rsidR="0008044E" w:rsidRDefault="0008044E" w:rsidP="00415ABE">
      <w:pPr>
        <w:numPr>
          <w:ilvl w:val="2"/>
          <w:numId w:val="8"/>
        </w:numPr>
      </w:pPr>
      <w:r w:rsidRPr="0008044E">
        <w:t>Trained image analysts corrected any leakage segmentation errors</w:t>
      </w:r>
      <w:r w:rsidR="00FC2048">
        <w:t xml:space="preserve"> and calculated areas of leakage and areas of interest</w:t>
      </w:r>
    </w:p>
    <w:p w14:paraId="012A91BB" w14:textId="77777777" w:rsidR="00FC2048" w:rsidRDefault="0008044E" w:rsidP="00415ABE">
      <w:pPr>
        <w:numPr>
          <w:ilvl w:val="2"/>
          <w:numId w:val="8"/>
        </w:numPr>
      </w:pPr>
      <w:r w:rsidRPr="0008044E">
        <w:t>PLI percentages were calculated</w:t>
      </w:r>
    </w:p>
    <w:p w14:paraId="38D1E2DC" w14:textId="51AFD538" w:rsidR="0008044E" w:rsidRDefault="00FC2048" w:rsidP="00FC2048">
      <w:pPr>
        <w:numPr>
          <w:ilvl w:val="3"/>
          <w:numId w:val="8"/>
        </w:numPr>
      </w:pPr>
      <w:r>
        <w:t>PLI % = (</w:t>
      </w:r>
      <w:r w:rsidR="0008044E" w:rsidRPr="0008044E">
        <w:t>area of leakage</w:t>
      </w:r>
      <w:r w:rsidR="0008044E">
        <w:t>/</w:t>
      </w:r>
      <w:r w:rsidR="0008044E" w:rsidRPr="0008044E">
        <w:t>area of interest</w:t>
      </w:r>
      <w:r>
        <w:t>)</w:t>
      </w:r>
      <w:r w:rsidR="0008044E" w:rsidRPr="0008044E">
        <w:t xml:space="preserve"> </w:t>
      </w:r>
      <w:r w:rsidR="0008044E">
        <w:t xml:space="preserve">* </w:t>
      </w:r>
      <w:r w:rsidR="0008044E" w:rsidRPr="0008044E">
        <w:t>100.</w:t>
      </w:r>
    </w:p>
    <w:p w14:paraId="000001B6" w14:textId="77777777" w:rsidR="00802B75" w:rsidRDefault="006C7233" w:rsidP="00415ABE">
      <w:pPr>
        <w:numPr>
          <w:ilvl w:val="0"/>
          <w:numId w:val="8"/>
        </w:numPr>
      </w:pPr>
      <w:r>
        <w:t xml:space="preserve">Treatment </w:t>
      </w:r>
      <w:proofErr w:type="spellStart"/>
      <w:r>
        <w:t>Reinitiation</w:t>
      </w:r>
      <w:proofErr w:type="spellEnd"/>
    </w:p>
    <w:p w14:paraId="000001B7" w14:textId="77777777" w:rsidR="00802B75" w:rsidRDefault="006C7233" w:rsidP="00415ABE">
      <w:pPr>
        <w:numPr>
          <w:ilvl w:val="1"/>
          <w:numId w:val="8"/>
        </w:numPr>
      </w:pPr>
      <w:r>
        <w:t>DRSS: 1 step worsening of DRSS compared to the best DRSS level achieved</w:t>
      </w:r>
    </w:p>
    <w:p w14:paraId="000001B8" w14:textId="765CABAF" w:rsidR="00802B75" w:rsidRDefault="006C7233" w:rsidP="00415ABE">
      <w:pPr>
        <w:numPr>
          <w:ilvl w:val="1"/>
          <w:numId w:val="8"/>
        </w:numPr>
      </w:pPr>
      <w:r>
        <w:t>PLI: PLI increased to 50% or higher of the difference between baseline and threshold PLI</w:t>
      </w:r>
    </w:p>
    <w:p w14:paraId="5C334B37" w14:textId="00610B7D" w:rsidR="00C13279" w:rsidRDefault="00C13279" w:rsidP="00415ABE">
      <w:pPr>
        <w:numPr>
          <w:ilvl w:val="2"/>
          <w:numId w:val="8"/>
        </w:numPr>
      </w:pPr>
      <w:r>
        <w:t>threshold PLI + [(baseline PLI – threshold PLI)/2]</w:t>
      </w:r>
    </w:p>
    <w:p w14:paraId="79BD1CB7" w14:textId="21C8FCD0" w:rsidR="0008044E" w:rsidRDefault="00FC2048" w:rsidP="00415ABE">
      <w:pPr>
        <w:numPr>
          <w:ilvl w:val="0"/>
          <w:numId w:val="8"/>
        </w:numPr>
      </w:pPr>
      <w:r>
        <w:t>At m</w:t>
      </w:r>
      <w:r w:rsidR="0008044E">
        <w:t>onthly visits</w:t>
      </w:r>
      <w:r>
        <w:t xml:space="preserve">, patients underwent: </w:t>
      </w:r>
    </w:p>
    <w:p w14:paraId="2CA9B697" w14:textId="29C1C6A7" w:rsidR="0008044E" w:rsidRDefault="0008044E" w:rsidP="00415ABE">
      <w:pPr>
        <w:numPr>
          <w:ilvl w:val="1"/>
          <w:numId w:val="8"/>
        </w:numPr>
      </w:pPr>
      <w:r>
        <w:t>ETDRS BCVA testing</w:t>
      </w:r>
    </w:p>
    <w:p w14:paraId="09EECDFC" w14:textId="0414165A" w:rsidR="0008044E" w:rsidRDefault="0008044E" w:rsidP="00415ABE">
      <w:pPr>
        <w:numPr>
          <w:ilvl w:val="1"/>
          <w:numId w:val="8"/>
        </w:numPr>
      </w:pPr>
      <w:r>
        <w:t>Ophthalmic examination</w:t>
      </w:r>
    </w:p>
    <w:p w14:paraId="11AA312C" w14:textId="50958699" w:rsidR="0008044E" w:rsidRDefault="0008044E" w:rsidP="00415ABE">
      <w:pPr>
        <w:numPr>
          <w:ilvl w:val="1"/>
          <w:numId w:val="8"/>
        </w:numPr>
      </w:pPr>
      <w:r>
        <w:t>SD-OCT imaging</w:t>
      </w:r>
    </w:p>
    <w:p w14:paraId="135976EC" w14:textId="5B75C89F" w:rsidR="0008044E" w:rsidRDefault="0008044E" w:rsidP="00415ABE">
      <w:pPr>
        <w:numPr>
          <w:ilvl w:val="1"/>
          <w:numId w:val="8"/>
        </w:numPr>
      </w:pPr>
      <w:r>
        <w:lastRenderedPageBreak/>
        <w:t>FP</w:t>
      </w:r>
      <w:r w:rsidR="00FC2048">
        <w:t xml:space="preserve"> imaging</w:t>
      </w:r>
    </w:p>
    <w:p w14:paraId="000001BA" w14:textId="1117A9A6" w:rsidR="00802B75" w:rsidRDefault="0008044E" w:rsidP="006C35F5">
      <w:pPr>
        <w:numPr>
          <w:ilvl w:val="1"/>
          <w:numId w:val="8"/>
        </w:numPr>
      </w:pPr>
      <w:r>
        <w:t>UWFA</w:t>
      </w:r>
      <w:r w:rsidR="00FC2048">
        <w:t xml:space="preserve"> imaging</w:t>
      </w:r>
    </w:p>
    <w:p w14:paraId="000001BB" w14:textId="77777777" w:rsidR="00802B75" w:rsidRDefault="006C7233">
      <w:pPr>
        <w:pStyle w:val="Heading3"/>
      </w:pPr>
      <w:bookmarkStart w:id="6" w:name="_ujhohf33u88m" w:colFirst="0" w:colLast="0"/>
      <w:bookmarkEnd w:id="6"/>
      <w:r>
        <w:t>Outcome Measures</w:t>
      </w:r>
    </w:p>
    <w:p w14:paraId="000001BC" w14:textId="77777777" w:rsidR="00802B75" w:rsidRDefault="006C7233" w:rsidP="00415ABE">
      <w:pPr>
        <w:numPr>
          <w:ilvl w:val="0"/>
          <w:numId w:val="23"/>
        </w:numPr>
      </w:pPr>
      <w:r>
        <w:t>Safety</w:t>
      </w:r>
    </w:p>
    <w:p w14:paraId="000001BD" w14:textId="77777777" w:rsidR="00802B75" w:rsidRDefault="006C7233" w:rsidP="00415ABE">
      <w:pPr>
        <w:numPr>
          <w:ilvl w:val="0"/>
          <w:numId w:val="23"/>
        </w:numPr>
      </w:pPr>
      <w:r>
        <w:t>Changes in DRSS and PLI</w:t>
      </w:r>
    </w:p>
    <w:p w14:paraId="000001BE" w14:textId="77777777" w:rsidR="00802B75" w:rsidRDefault="006C7233">
      <w:pPr>
        <w:pStyle w:val="Heading3"/>
      </w:pPr>
      <w:bookmarkStart w:id="7" w:name="_odti373zmb1r" w:colFirst="0" w:colLast="0"/>
      <w:bookmarkEnd w:id="7"/>
      <w:r>
        <w:t>Inclusion criteria</w:t>
      </w:r>
    </w:p>
    <w:p w14:paraId="000001BF" w14:textId="77777777" w:rsidR="00802B75" w:rsidRDefault="006C7233" w:rsidP="00415ABE">
      <w:pPr>
        <w:numPr>
          <w:ilvl w:val="0"/>
          <w:numId w:val="19"/>
        </w:numPr>
      </w:pPr>
      <w:r>
        <w:t>Type 1 or 2 diabetes</w:t>
      </w:r>
    </w:p>
    <w:p w14:paraId="000001C0" w14:textId="77777777" w:rsidR="00802B75" w:rsidRDefault="006C7233" w:rsidP="00415ABE">
      <w:pPr>
        <w:numPr>
          <w:ilvl w:val="0"/>
          <w:numId w:val="19"/>
        </w:numPr>
      </w:pPr>
      <w:r>
        <w:t>DRSS level 47A-71A</w:t>
      </w:r>
    </w:p>
    <w:p w14:paraId="000001C1" w14:textId="6AF44523" w:rsidR="00802B75" w:rsidRDefault="00505D89" w:rsidP="00415ABE">
      <w:pPr>
        <w:numPr>
          <w:ilvl w:val="0"/>
          <w:numId w:val="19"/>
        </w:numPr>
      </w:pPr>
      <w:r>
        <w:t>ETDRS BCVA ≥</w:t>
      </w:r>
      <w:r w:rsidR="006C7233">
        <w:t xml:space="preserve"> 20/800</w:t>
      </w:r>
    </w:p>
    <w:p w14:paraId="000001C2" w14:textId="77777777" w:rsidR="00802B75" w:rsidRDefault="00802B75"/>
    <w:p w14:paraId="000001C3" w14:textId="77777777" w:rsidR="00802B75" w:rsidRDefault="006C7233">
      <w:pPr>
        <w:pStyle w:val="Heading3"/>
      </w:pPr>
      <w:bookmarkStart w:id="8" w:name="_elq7t72c0ry1" w:colFirst="0" w:colLast="0"/>
      <w:bookmarkEnd w:id="8"/>
      <w:r>
        <w:t>Exclusion criteria</w:t>
      </w:r>
    </w:p>
    <w:p w14:paraId="3BDA7FCB" w14:textId="0726A07A" w:rsidR="00A81B8C" w:rsidRDefault="006C7233" w:rsidP="00415ABE">
      <w:pPr>
        <w:numPr>
          <w:ilvl w:val="0"/>
          <w:numId w:val="25"/>
        </w:numPr>
      </w:pPr>
      <w:r>
        <w:t xml:space="preserve">Previous </w:t>
      </w:r>
      <w:r w:rsidR="00A81B8C">
        <w:t>treatment in the study eye:</w:t>
      </w:r>
    </w:p>
    <w:p w14:paraId="3BE34D61" w14:textId="2466156C" w:rsidR="00A81B8C" w:rsidRDefault="006C7233" w:rsidP="00A81B8C">
      <w:pPr>
        <w:numPr>
          <w:ilvl w:val="1"/>
          <w:numId w:val="25"/>
        </w:numPr>
      </w:pPr>
      <w:r>
        <w:t xml:space="preserve">anti-VEGF </w:t>
      </w:r>
      <w:r w:rsidR="00A81B8C">
        <w:t xml:space="preserve">pharmacotherapies </w:t>
      </w:r>
      <w:r>
        <w:t>within 24 weeks of screening</w:t>
      </w:r>
    </w:p>
    <w:p w14:paraId="4DAF520A" w14:textId="77777777" w:rsidR="00A81B8C" w:rsidRDefault="006C7233" w:rsidP="00A81B8C">
      <w:pPr>
        <w:numPr>
          <w:ilvl w:val="1"/>
          <w:numId w:val="25"/>
        </w:numPr>
      </w:pPr>
      <w:r>
        <w:t>corticosteroids within 12 weeks of screening</w:t>
      </w:r>
    </w:p>
    <w:p w14:paraId="37122F82" w14:textId="77777777" w:rsidR="00A81B8C" w:rsidRDefault="006C7233" w:rsidP="00A81B8C">
      <w:pPr>
        <w:numPr>
          <w:ilvl w:val="1"/>
          <w:numId w:val="25"/>
        </w:numPr>
      </w:pPr>
      <w:r>
        <w:t>dexamethas</w:t>
      </w:r>
      <w:r w:rsidR="00A81B8C">
        <w:t>one</w:t>
      </w:r>
    </w:p>
    <w:p w14:paraId="000001C6" w14:textId="4CDF8C32" w:rsidR="00802B75" w:rsidRDefault="00A81B8C" w:rsidP="00A81B8C">
      <w:pPr>
        <w:numPr>
          <w:ilvl w:val="1"/>
          <w:numId w:val="25"/>
        </w:numPr>
      </w:pPr>
      <w:proofErr w:type="spellStart"/>
      <w:r>
        <w:t>fluocinolone</w:t>
      </w:r>
      <w:proofErr w:type="spellEnd"/>
      <w:r>
        <w:t xml:space="preserve"> </w:t>
      </w:r>
      <w:proofErr w:type="spellStart"/>
      <w:r>
        <w:t>acetonide</w:t>
      </w:r>
      <w:proofErr w:type="spellEnd"/>
    </w:p>
    <w:p w14:paraId="000001C8" w14:textId="29DD4A6C" w:rsidR="00802B75" w:rsidRDefault="006C7233" w:rsidP="00A81B8C">
      <w:pPr>
        <w:numPr>
          <w:ilvl w:val="0"/>
          <w:numId w:val="25"/>
        </w:numPr>
      </w:pPr>
      <w:r>
        <w:t xml:space="preserve">History of vitrectomy </w:t>
      </w:r>
      <w:r w:rsidR="00A81B8C">
        <w:t>or PRP</w:t>
      </w:r>
    </w:p>
    <w:p w14:paraId="000001C9" w14:textId="17601E15" w:rsidR="00802B75" w:rsidRDefault="00505D89" w:rsidP="00415ABE">
      <w:pPr>
        <w:numPr>
          <w:ilvl w:val="0"/>
          <w:numId w:val="25"/>
        </w:numPr>
      </w:pPr>
      <w:r>
        <w:t>SD-OCT CST &gt; 320 µ</w:t>
      </w:r>
      <w:r w:rsidR="006C7233">
        <w:t>m</w:t>
      </w:r>
    </w:p>
    <w:p w14:paraId="000001CA" w14:textId="4A6E3735" w:rsidR="00802B75" w:rsidRDefault="006C7233" w:rsidP="00415ABE">
      <w:pPr>
        <w:numPr>
          <w:ilvl w:val="0"/>
          <w:numId w:val="25"/>
        </w:numPr>
      </w:pPr>
      <w:r>
        <w:t xml:space="preserve">Central DME causing </w:t>
      </w:r>
      <w:r w:rsidR="00FC2048">
        <w:t>vision loss</w:t>
      </w:r>
    </w:p>
    <w:p w14:paraId="000001CB" w14:textId="18093BCF" w:rsidR="00802B75" w:rsidRDefault="00A81B8C" w:rsidP="00415ABE">
      <w:pPr>
        <w:numPr>
          <w:ilvl w:val="0"/>
          <w:numId w:val="25"/>
        </w:numPr>
      </w:pPr>
      <w:r>
        <w:t>Current vitreous hemorrhage</w:t>
      </w:r>
    </w:p>
    <w:p w14:paraId="000001CD" w14:textId="77777777" w:rsidR="00802B75" w:rsidRDefault="00802B75"/>
    <w:p w14:paraId="1F4DA4C5" w14:textId="48B49E18" w:rsidR="00690949" w:rsidRDefault="00B40100" w:rsidP="00690949">
      <w:pPr>
        <w:pStyle w:val="Heading3"/>
      </w:pPr>
      <w:bookmarkStart w:id="9" w:name="_cg26ypf1osuc" w:colFirst="0" w:colLast="0"/>
      <w:bookmarkEnd w:id="9"/>
      <w:r>
        <w:t xml:space="preserve">Year 1 </w:t>
      </w:r>
      <w:r w:rsidR="006C7233">
        <w:t>Results</w:t>
      </w:r>
    </w:p>
    <w:p w14:paraId="000001CF" w14:textId="5121F8AB" w:rsidR="00802B75" w:rsidRDefault="006C7233" w:rsidP="00415ABE">
      <w:pPr>
        <w:numPr>
          <w:ilvl w:val="0"/>
          <w:numId w:val="26"/>
        </w:numPr>
      </w:pPr>
      <w:r>
        <w:t>1 year (52 weeks)</w:t>
      </w:r>
    </w:p>
    <w:p w14:paraId="000001D0" w14:textId="3FA96956" w:rsidR="00802B75" w:rsidRDefault="00505D89" w:rsidP="00415ABE">
      <w:pPr>
        <w:numPr>
          <w:ilvl w:val="1"/>
          <w:numId w:val="26"/>
        </w:numPr>
      </w:pPr>
      <w:r>
        <w:t xml:space="preserve">95% improvement in DRSS by ≥ </w:t>
      </w:r>
      <w:r w:rsidR="006C7233">
        <w:t>2 steps</w:t>
      </w:r>
    </w:p>
    <w:p w14:paraId="000001D1" w14:textId="77AA4C30" w:rsidR="00802B75" w:rsidRDefault="006C7233" w:rsidP="00415ABE">
      <w:pPr>
        <w:numPr>
          <w:ilvl w:val="1"/>
          <w:numId w:val="26"/>
        </w:numPr>
      </w:pPr>
      <w:r>
        <w:t xml:space="preserve">97% of eyes required </w:t>
      </w:r>
      <w:r w:rsidR="00086A16">
        <w:t xml:space="preserve">≥ </w:t>
      </w:r>
      <w:r>
        <w:t>1 PRN IAI</w:t>
      </w:r>
    </w:p>
    <w:p w14:paraId="000001D3" w14:textId="078D5DB6" w:rsidR="00802B75" w:rsidRDefault="006C7233" w:rsidP="00415ABE">
      <w:pPr>
        <w:numPr>
          <w:ilvl w:val="0"/>
          <w:numId w:val="12"/>
        </w:numPr>
      </w:pPr>
      <w:r>
        <w:t>Need 2</w:t>
      </w:r>
      <w:r w:rsidR="0058797A">
        <w:t>-</w:t>
      </w:r>
      <w:r>
        <w:t>step DRSS improvement to initiate PRN IAI dosages</w:t>
      </w:r>
    </w:p>
    <w:p w14:paraId="6644A596" w14:textId="321C098D" w:rsidR="006C35F5" w:rsidRDefault="006C35F5" w:rsidP="00415ABE">
      <w:pPr>
        <w:numPr>
          <w:ilvl w:val="1"/>
          <w:numId w:val="12"/>
        </w:numPr>
      </w:pPr>
      <w:r>
        <w:t>DRSS worsening was preceded by PLI worsening in most patients</w:t>
      </w:r>
    </w:p>
    <w:p w14:paraId="78A73545" w14:textId="3FE4061A" w:rsidR="006C35F5" w:rsidRDefault="006C35F5" w:rsidP="006C35F5">
      <w:pPr>
        <w:numPr>
          <w:ilvl w:val="2"/>
          <w:numId w:val="12"/>
        </w:numPr>
      </w:pPr>
      <w:r>
        <w:t>Recurrence of leakage could serve as an early biomarker for DR worsening</w:t>
      </w:r>
    </w:p>
    <w:p w14:paraId="000001D4" w14:textId="29CADDB3" w:rsidR="00802B75" w:rsidRDefault="006C7233" w:rsidP="00415ABE">
      <w:pPr>
        <w:numPr>
          <w:ilvl w:val="1"/>
          <w:numId w:val="12"/>
        </w:numPr>
      </w:pPr>
      <w:r>
        <w:t>IAI retreatment every 3-4 months</w:t>
      </w:r>
      <w:r w:rsidR="006C35F5">
        <w:t xml:space="preserve"> was common</w:t>
      </w:r>
    </w:p>
    <w:p w14:paraId="66A7F617" w14:textId="25BFEB9F" w:rsidR="006C35F5" w:rsidRDefault="006C35F5" w:rsidP="006C35F5">
      <w:pPr>
        <w:numPr>
          <w:ilvl w:val="2"/>
          <w:numId w:val="12"/>
        </w:numPr>
      </w:pPr>
      <w:r>
        <w:t>Could suggest this in clinic</w:t>
      </w:r>
      <w:r w:rsidR="0058797A">
        <w:t>al practice</w:t>
      </w:r>
    </w:p>
    <w:p w14:paraId="000001D5" w14:textId="16A6DAD2" w:rsidR="00802B75" w:rsidRDefault="006C7233" w:rsidP="00415ABE">
      <w:pPr>
        <w:numPr>
          <w:ilvl w:val="0"/>
          <w:numId w:val="12"/>
        </w:numPr>
      </w:pPr>
      <w:r>
        <w:t xml:space="preserve">No significant differences </w:t>
      </w:r>
      <w:r w:rsidR="006C35F5">
        <w:t>between arms for any anatomic or visual</w:t>
      </w:r>
      <w:r>
        <w:t xml:space="preserve"> changes</w:t>
      </w:r>
    </w:p>
    <w:p w14:paraId="000001D7" w14:textId="59309323" w:rsidR="00802B75" w:rsidRDefault="006C7233" w:rsidP="006C35F5">
      <w:pPr>
        <w:numPr>
          <w:ilvl w:val="0"/>
          <w:numId w:val="12"/>
        </w:numPr>
      </w:pPr>
      <w:r>
        <w:t xml:space="preserve">Outcomes and treatment burden </w:t>
      </w:r>
      <w:r w:rsidR="006C35F5">
        <w:t>were</w:t>
      </w:r>
      <w:r>
        <w:t xml:space="preserve"> similar between arms</w:t>
      </w:r>
    </w:p>
    <w:p w14:paraId="000001F1" w14:textId="50431ACE" w:rsidR="00802B75" w:rsidRDefault="006C7233" w:rsidP="0058797A">
      <w:pPr>
        <w:numPr>
          <w:ilvl w:val="0"/>
          <w:numId w:val="12"/>
        </w:numPr>
      </w:pPr>
      <w:r>
        <w:t>PLI arm showed decreased PLI compared to baseline</w:t>
      </w:r>
      <w:r w:rsidR="0058797A">
        <w:t>,</w:t>
      </w:r>
      <w:r>
        <w:t xml:space="preserve"> and the DRSS arm did not</w:t>
      </w:r>
    </w:p>
    <w:p w14:paraId="3968407B" w14:textId="77777777" w:rsidR="0058797A" w:rsidRDefault="0058797A" w:rsidP="0058797A"/>
    <w:p w14:paraId="2C27A6D1" w14:textId="6F7E7AE2" w:rsidR="00A81B8C" w:rsidRDefault="00A81B8C" w:rsidP="00A81B8C">
      <w:pPr>
        <w:pStyle w:val="ListParagraph"/>
        <w:numPr>
          <w:ilvl w:val="0"/>
          <w:numId w:val="45"/>
        </w:numPr>
      </w:pPr>
      <w:r>
        <w:t>DRSS-guided vs</w:t>
      </w:r>
      <w:r w:rsidR="0058797A">
        <w:t>.</w:t>
      </w:r>
      <w:r>
        <w:t xml:space="preserve"> PLI-guided outcomes</w:t>
      </w:r>
      <w:r w:rsidR="00B40100">
        <w:t xml:space="preserve"> </w:t>
      </w:r>
    </w:p>
    <w:p w14:paraId="7A285B36" w14:textId="77777777" w:rsidR="00A81B8C" w:rsidRDefault="00A81B8C" w:rsidP="00A81B8C">
      <w:pPr>
        <w:pStyle w:val="ListParagraph"/>
        <w:numPr>
          <w:ilvl w:val="1"/>
          <w:numId w:val="45"/>
        </w:numPr>
      </w:pPr>
      <w:r>
        <w:t>DRSS-guided</w:t>
      </w:r>
    </w:p>
    <w:p w14:paraId="12E7FE46" w14:textId="14202231" w:rsidR="00A81B8C" w:rsidRDefault="00A81B8C" w:rsidP="00A81B8C">
      <w:pPr>
        <w:pStyle w:val="ListParagraph"/>
        <w:numPr>
          <w:ilvl w:val="2"/>
          <w:numId w:val="45"/>
        </w:numPr>
      </w:pPr>
      <w:r>
        <w:t>Mean IAI = 5.6</w:t>
      </w:r>
    </w:p>
    <w:p w14:paraId="2FCC6B0D" w14:textId="716E8955" w:rsidR="00A81B8C" w:rsidRDefault="00A81B8C" w:rsidP="00A81B8C">
      <w:pPr>
        <w:pStyle w:val="ListParagraph"/>
        <w:numPr>
          <w:ilvl w:val="2"/>
          <w:numId w:val="45"/>
        </w:numPr>
      </w:pPr>
      <w:r>
        <w:lastRenderedPageBreak/>
        <w:t>Patients with DRSS worsening in eyes requiring PRN IAI = 100%</w:t>
      </w:r>
    </w:p>
    <w:p w14:paraId="38977246" w14:textId="542B2B9E" w:rsidR="00A81B8C" w:rsidRDefault="00A81B8C" w:rsidP="00A81B8C">
      <w:pPr>
        <w:pStyle w:val="ListParagraph"/>
        <w:numPr>
          <w:ilvl w:val="2"/>
          <w:numId w:val="45"/>
        </w:numPr>
      </w:pPr>
      <w:r>
        <w:t xml:space="preserve">Mean PLI decrease = </w:t>
      </w:r>
      <w:r w:rsidRPr="00C16B61">
        <w:rPr>
          <w:rFonts w:eastAsia="Times New Roman"/>
          <w:color w:val="000000"/>
          <w:lang w:val="en-US"/>
        </w:rPr>
        <w:t>-18.2% (P = 0.49)</w:t>
      </w:r>
    </w:p>
    <w:p w14:paraId="029B1FD0" w14:textId="77777777" w:rsidR="00A81B8C" w:rsidRDefault="00A81B8C" w:rsidP="00A81B8C">
      <w:pPr>
        <w:pStyle w:val="ListParagraph"/>
        <w:numPr>
          <w:ilvl w:val="1"/>
          <w:numId w:val="45"/>
        </w:numPr>
      </w:pPr>
      <w:r>
        <w:t>PLI-guided</w:t>
      </w:r>
    </w:p>
    <w:p w14:paraId="14EAAB7E" w14:textId="197931CF" w:rsidR="00A81B8C" w:rsidRDefault="00A81B8C" w:rsidP="00A81B8C">
      <w:pPr>
        <w:pStyle w:val="ListParagraph"/>
        <w:numPr>
          <w:ilvl w:val="2"/>
          <w:numId w:val="45"/>
        </w:numPr>
      </w:pPr>
      <w:r>
        <w:t xml:space="preserve">Mean IAI = 7.1 </w:t>
      </w:r>
    </w:p>
    <w:p w14:paraId="5978A179" w14:textId="5126DA9C" w:rsidR="00A81B8C" w:rsidRDefault="00A81B8C" w:rsidP="00A81B8C">
      <w:pPr>
        <w:pStyle w:val="ListParagraph"/>
        <w:numPr>
          <w:ilvl w:val="2"/>
          <w:numId w:val="45"/>
        </w:numPr>
      </w:pPr>
      <w:r>
        <w:t>Patients with DRSS worsening in eyes requiring PRN IAI = 59%</w:t>
      </w:r>
    </w:p>
    <w:p w14:paraId="5A9D7D98" w14:textId="0D17DDE0" w:rsidR="00A81B8C" w:rsidRPr="00817D7C" w:rsidRDefault="00A81B8C" w:rsidP="00A81B8C">
      <w:pPr>
        <w:pStyle w:val="ListParagraph"/>
        <w:numPr>
          <w:ilvl w:val="2"/>
          <w:numId w:val="45"/>
        </w:numPr>
      </w:pPr>
      <w:r>
        <w:t xml:space="preserve">Mean PLI decrease = </w:t>
      </w:r>
      <w:r w:rsidRPr="00C16B61">
        <w:rPr>
          <w:rFonts w:eastAsia="Times New Roman"/>
          <w:color w:val="000000"/>
          <w:lang w:val="en-US"/>
        </w:rPr>
        <w:t>-54.6% (P &lt;0.0001)</w:t>
      </w:r>
    </w:p>
    <w:p w14:paraId="67A7A53A" w14:textId="77777777" w:rsidR="00817D7C" w:rsidRPr="00A81B8C" w:rsidRDefault="00817D7C" w:rsidP="00B40100"/>
    <w:p w14:paraId="714E4CAA" w14:textId="638EECDC" w:rsidR="00A81B8C" w:rsidRPr="00A81B8C" w:rsidRDefault="00A81B8C" w:rsidP="00A81B8C">
      <w:pPr>
        <w:pStyle w:val="ListParagraph"/>
        <w:numPr>
          <w:ilvl w:val="0"/>
          <w:numId w:val="45"/>
        </w:numPr>
      </w:pPr>
      <w:r>
        <w:rPr>
          <w:rFonts w:eastAsia="Times New Roman"/>
          <w:color w:val="000000"/>
          <w:lang w:val="en-US"/>
        </w:rPr>
        <w:t xml:space="preserve">NPDR vs. PDR outcomes </w:t>
      </w:r>
      <w:r w:rsidR="00817D7C">
        <w:rPr>
          <w:rFonts w:eastAsia="Times New Roman"/>
          <w:color w:val="000000"/>
          <w:lang w:val="en-US"/>
        </w:rPr>
        <w:t>– Year 1</w:t>
      </w:r>
    </w:p>
    <w:p w14:paraId="49180B6A" w14:textId="007E06E7" w:rsidR="00A81B8C" w:rsidRPr="00A81B8C" w:rsidRDefault="00A81B8C" w:rsidP="00A81B8C">
      <w:pPr>
        <w:pStyle w:val="ListParagraph"/>
        <w:numPr>
          <w:ilvl w:val="1"/>
          <w:numId w:val="45"/>
        </w:numPr>
      </w:pPr>
      <w:r>
        <w:rPr>
          <w:rFonts w:eastAsia="Times New Roman"/>
          <w:color w:val="000000"/>
          <w:lang w:val="en-US"/>
        </w:rPr>
        <w:t xml:space="preserve">NPDR </w:t>
      </w:r>
    </w:p>
    <w:p w14:paraId="7DDB6C5C" w14:textId="50D465BE" w:rsidR="00A81B8C" w:rsidRPr="00A81B8C" w:rsidRDefault="00A81B8C" w:rsidP="00A81B8C">
      <w:pPr>
        <w:pStyle w:val="ListParagraph"/>
        <w:numPr>
          <w:ilvl w:val="2"/>
          <w:numId w:val="45"/>
        </w:numPr>
      </w:pPr>
      <w:r>
        <w:t>DRSS improvement of ≥ 2 steps Mean IAI = 4.9</w:t>
      </w:r>
    </w:p>
    <w:p w14:paraId="60145FD7" w14:textId="77DB940E" w:rsidR="00A81B8C" w:rsidRPr="00A81B8C" w:rsidRDefault="00A81B8C" w:rsidP="00A81B8C">
      <w:pPr>
        <w:pStyle w:val="ListParagraph"/>
        <w:numPr>
          <w:ilvl w:val="1"/>
          <w:numId w:val="45"/>
        </w:numPr>
      </w:pPr>
      <w:r>
        <w:rPr>
          <w:rFonts w:eastAsia="Times New Roman"/>
          <w:color w:val="000000"/>
          <w:lang w:val="en-US"/>
        </w:rPr>
        <w:t>PDR</w:t>
      </w:r>
    </w:p>
    <w:p w14:paraId="3DCBE767" w14:textId="057EF1BC" w:rsidR="00A81B8C" w:rsidRDefault="00A81B8C" w:rsidP="00A81B8C">
      <w:pPr>
        <w:pStyle w:val="ListParagraph"/>
        <w:numPr>
          <w:ilvl w:val="2"/>
          <w:numId w:val="45"/>
        </w:numPr>
      </w:pPr>
      <w:r>
        <w:t>DRSS improvement of ≥ 2 steps Mean IAI = 3.6</w:t>
      </w:r>
    </w:p>
    <w:p w14:paraId="33A87EAA" w14:textId="387C3E5B" w:rsidR="00B40100" w:rsidRDefault="00B40100">
      <w:pPr>
        <w:pStyle w:val="Heading3"/>
      </w:pPr>
      <w:bookmarkStart w:id="10" w:name="_hc1qsec9dx7x" w:colFirst="0" w:colLast="0"/>
      <w:bookmarkEnd w:id="10"/>
      <w:r>
        <w:t>Year 2 Results</w:t>
      </w:r>
    </w:p>
    <w:p w14:paraId="36722FC6" w14:textId="4B19DCF4" w:rsidR="00B40100" w:rsidRDefault="00B40100" w:rsidP="00B40100">
      <w:pPr>
        <w:pStyle w:val="ListParagraph"/>
        <w:numPr>
          <w:ilvl w:val="0"/>
          <w:numId w:val="45"/>
        </w:numPr>
      </w:pPr>
      <w:r>
        <w:t>DRSS-guided vs PLI-guided outcomes</w:t>
      </w:r>
    </w:p>
    <w:p w14:paraId="559F8210" w14:textId="77777777" w:rsidR="00B40100" w:rsidRDefault="00B40100" w:rsidP="00B40100">
      <w:pPr>
        <w:pStyle w:val="ListParagraph"/>
        <w:numPr>
          <w:ilvl w:val="1"/>
          <w:numId w:val="45"/>
        </w:numPr>
      </w:pPr>
      <w:r>
        <w:t>DRSS-guided</w:t>
      </w:r>
    </w:p>
    <w:p w14:paraId="634D966C" w14:textId="77777777" w:rsidR="00B40100" w:rsidRDefault="00B40100" w:rsidP="00B40100">
      <w:pPr>
        <w:pStyle w:val="ListParagraph"/>
        <w:numPr>
          <w:ilvl w:val="2"/>
          <w:numId w:val="45"/>
        </w:numPr>
      </w:pPr>
      <w:r>
        <w:t>Mean IAI = 3.3</w:t>
      </w:r>
    </w:p>
    <w:p w14:paraId="32909BAE" w14:textId="77777777" w:rsidR="00B40100" w:rsidRDefault="00B40100" w:rsidP="00B40100">
      <w:pPr>
        <w:pStyle w:val="ListParagraph"/>
        <w:numPr>
          <w:ilvl w:val="2"/>
          <w:numId w:val="45"/>
        </w:numPr>
      </w:pPr>
      <w:r>
        <w:t xml:space="preserve">Mean PLI decrease = </w:t>
      </w:r>
      <w:r>
        <w:rPr>
          <w:rFonts w:eastAsia="Times New Roman"/>
          <w:color w:val="000000"/>
          <w:lang w:val="en-US"/>
        </w:rPr>
        <w:t>-11% (P = 0.73</w:t>
      </w:r>
      <w:r w:rsidRPr="00C16B61">
        <w:rPr>
          <w:rFonts w:eastAsia="Times New Roman"/>
          <w:color w:val="000000"/>
          <w:lang w:val="en-US"/>
        </w:rPr>
        <w:t>)</w:t>
      </w:r>
    </w:p>
    <w:p w14:paraId="70B13202" w14:textId="77777777" w:rsidR="00B40100" w:rsidRDefault="00B40100" w:rsidP="00B40100">
      <w:pPr>
        <w:pStyle w:val="ListParagraph"/>
        <w:numPr>
          <w:ilvl w:val="1"/>
          <w:numId w:val="45"/>
        </w:numPr>
      </w:pPr>
      <w:r>
        <w:t>PLI-guided</w:t>
      </w:r>
    </w:p>
    <w:p w14:paraId="58D861B9" w14:textId="77777777" w:rsidR="00B40100" w:rsidRDefault="00B40100" w:rsidP="00B40100">
      <w:pPr>
        <w:pStyle w:val="ListParagraph"/>
        <w:numPr>
          <w:ilvl w:val="2"/>
          <w:numId w:val="45"/>
        </w:numPr>
      </w:pPr>
      <w:r>
        <w:t xml:space="preserve">Mean IAI = 2.9 </w:t>
      </w:r>
    </w:p>
    <w:p w14:paraId="1170FBA2" w14:textId="2733DE2B" w:rsidR="00B40100" w:rsidRPr="00B40100" w:rsidRDefault="00B40100" w:rsidP="00B40100">
      <w:pPr>
        <w:pStyle w:val="ListParagraph"/>
        <w:numPr>
          <w:ilvl w:val="2"/>
          <w:numId w:val="45"/>
        </w:numPr>
      </w:pPr>
      <w:r>
        <w:t xml:space="preserve">Mean PLI decrease = </w:t>
      </w:r>
      <w:r>
        <w:rPr>
          <w:rFonts w:eastAsia="Times New Roman"/>
          <w:color w:val="000000"/>
          <w:lang w:val="en-US"/>
        </w:rPr>
        <w:t>-23.6% (P = 0.25</w:t>
      </w:r>
      <w:r w:rsidRPr="00C16B61">
        <w:rPr>
          <w:rFonts w:eastAsia="Times New Roman"/>
          <w:color w:val="000000"/>
          <w:lang w:val="en-US"/>
        </w:rPr>
        <w:t>)</w:t>
      </w:r>
    </w:p>
    <w:p w14:paraId="000001F2" w14:textId="5421E705" w:rsidR="00802B75" w:rsidRDefault="006C7233">
      <w:pPr>
        <w:pStyle w:val="Heading3"/>
      </w:pPr>
      <w:r>
        <w:t>Discussion</w:t>
      </w:r>
    </w:p>
    <w:p w14:paraId="000001F3" w14:textId="5B8A821A" w:rsidR="00802B75" w:rsidRDefault="006C7233" w:rsidP="00415ABE">
      <w:pPr>
        <w:numPr>
          <w:ilvl w:val="0"/>
          <w:numId w:val="4"/>
        </w:numPr>
      </w:pPr>
      <w:r>
        <w:t xml:space="preserve">Close clinical follow up is important even </w:t>
      </w:r>
      <w:r w:rsidR="006C35F5">
        <w:t>in</w:t>
      </w:r>
      <w:r>
        <w:t xml:space="preserve"> eyes</w:t>
      </w:r>
      <w:r w:rsidR="006C35F5">
        <w:t xml:space="preserve"> that appear quiescent</w:t>
      </w:r>
    </w:p>
    <w:p w14:paraId="000001F4" w14:textId="77777777" w:rsidR="00802B75" w:rsidRDefault="006C7233" w:rsidP="00415ABE">
      <w:pPr>
        <w:numPr>
          <w:ilvl w:val="0"/>
          <w:numId w:val="4"/>
        </w:numPr>
      </w:pPr>
      <w:r>
        <w:t>Limitations</w:t>
      </w:r>
    </w:p>
    <w:p w14:paraId="000001F5" w14:textId="21076FAD" w:rsidR="00802B75" w:rsidRDefault="006C7233" w:rsidP="00415ABE">
      <w:pPr>
        <w:numPr>
          <w:ilvl w:val="1"/>
          <w:numId w:val="4"/>
        </w:numPr>
      </w:pPr>
      <w:r>
        <w:t xml:space="preserve">High </w:t>
      </w:r>
      <w:r w:rsidR="006C35F5">
        <w:t>LTFU rate</w:t>
      </w:r>
    </w:p>
    <w:p w14:paraId="000001F6" w14:textId="34F76BC3" w:rsidR="00802B75" w:rsidRDefault="006C7233" w:rsidP="00415ABE">
      <w:pPr>
        <w:numPr>
          <w:ilvl w:val="1"/>
          <w:numId w:val="4"/>
        </w:numPr>
      </w:pPr>
      <w:r>
        <w:t>Mo</w:t>
      </w:r>
      <w:r w:rsidR="006C35F5">
        <w:t>dification of pure DRSS grading</w:t>
      </w:r>
      <w:r w:rsidR="00690949">
        <w:t xml:space="preserve"> used in this study</w:t>
      </w:r>
    </w:p>
    <w:p w14:paraId="000001F9" w14:textId="7AFCDDD2" w:rsidR="00802B75" w:rsidRDefault="006C7233" w:rsidP="006C35F5">
      <w:pPr>
        <w:numPr>
          <w:ilvl w:val="1"/>
          <w:numId w:val="4"/>
        </w:numPr>
      </w:pPr>
      <w:r>
        <w:t xml:space="preserve">DRSS and PLI grading </w:t>
      </w:r>
      <w:r w:rsidR="006C35F5">
        <w:t>would be difficult to implement into routine clinical care</w:t>
      </w:r>
    </w:p>
    <w:p w14:paraId="000001FA" w14:textId="77777777" w:rsidR="00802B75" w:rsidRDefault="006C7233" w:rsidP="00BD5D03">
      <w:pPr>
        <w:pStyle w:val="Heading3"/>
      </w:pPr>
      <w:r>
        <w:t>Notes</w:t>
      </w:r>
    </w:p>
    <w:p w14:paraId="000001FB" w14:textId="167570BB" w:rsidR="00802B75" w:rsidRDefault="004F5D86" w:rsidP="00415ABE">
      <w:pPr>
        <w:numPr>
          <w:ilvl w:val="0"/>
          <w:numId w:val="10"/>
        </w:numPr>
      </w:pPr>
      <w:r>
        <w:t>Types of r</w:t>
      </w:r>
      <w:r w:rsidR="006C7233">
        <w:t>etreatment protocols</w:t>
      </w:r>
    </w:p>
    <w:p w14:paraId="000001FC" w14:textId="77777777" w:rsidR="00802B75" w:rsidRDefault="006C7233" w:rsidP="00415ABE">
      <w:pPr>
        <w:numPr>
          <w:ilvl w:val="0"/>
          <w:numId w:val="7"/>
        </w:numPr>
      </w:pPr>
      <w:r>
        <w:t>Fixed interval</w:t>
      </w:r>
    </w:p>
    <w:p w14:paraId="000001FD" w14:textId="77777777" w:rsidR="00802B75" w:rsidRDefault="006C7233" w:rsidP="00415ABE">
      <w:pPr>
        <w:numPr>
          <w:ilvl w:val="0"/>
          <w:numId w:val="7"/>
        </w:numPr>
      </w:pPr>
      <w:r>
        <w:t>PRN</w:t>
      </w:r>
    </w:p>
    <w:p w14:paraId="000001FE" w14:textId="77777777" w:rsidR="00802B75" w:rsidRDefault="006C7233" w:rsidP="00415ABE">
      <w:pPr>
        <w:numPr>
          <w:ilvl w:val="0"/>
          <w:numId w:val="7"/>
        </w:numPr>
      </w:pPr>
      <w:r>
        <w:t>Treat-and-extend</w:t>
      </w:r>
    </w:p>
    <w:p w14:paraId="000001FF" w14:textId="661C7612" w:rsidR="00802B75" w:rsidRDefault="004F5D86" w:rsidP="00415ABE">
      <w:pPr>
        <w:numPr>
          <w:ilvl w:val="0"/>
          <w:numId w:val="11"/>
        </w:numPr>
      </w:pPr>
      <w:r>
        <w:t>PRN and treat-and-extend protocols</w:t>
      </w:r>
      <w:r w:rsidR="006C7233">
        <w:t xml:space="preserve"> are </w:t>
      </w:r>
      <w:r w:rsidR="006C35F5">
        <w:t xml:space="preserve">often </w:t>
      </w:r>
      <w:r w:rsidR="006C7233">
        <w:t xml:space="preserve">based </w:t>
      </w:r>
      <w:bookmarkStart w:id="11" w:name="_GoBack"/>
      <w:bookmarkEnd w:id="11"/>
      <w:r w:rsidR="006C35F5">
        <w:t xml:space="preserve">on </w:t>
      </w:r>
      <w:r w:rsidR="006C7233">
        <w:t>fluid</w:t>
      </w:r>
      <w:r w:rsidR="006C35F5">
        <w:t xml:space="preserve"> changes visualized by OCT</w:t>
      </w:r>
    </w:p>
    <w:p w14:paraId="000004AF" w14:textId="593A0D3F" w:rsidR="006C28E9" w:rsidRDefault="006C7233" w:rsidP="00690949">
      <w:pPr>
        <w:numPr>
          <w:ilvl w:val="0"/>
          <w:numId w:val="24"/>
        </w:numPr>
      </w:pPr>
      <w:r>
        <w:t xml:space="preserve">DRSS </w:t>
      </w:r>
      <w:r w:rsidR="00411195">
        <w:t>could be</w:t>
      </w:r>
      <w:r w:rsidR="004F5D86">
        <w:t xml:space="preserve"> </w:t>
      </w:r>
      <w:r w:rsidR="00BD5D03">
        <w:t>i</w:t>
      </w:r>
      <w:r>
        <w:t>mpractical for clinical practice because of the strict grading methodology</w:t>
      </w:r>
      <w:bookmarkStart w:id="12" w:name="_czxajeusjce6" w:colFirst="0" w:colLast="0"/>
      <w:bookmarkEnd w:id="12"/>
      <w:r w:rsidR="00DF505A">
        <w:t xml:space="preserve"> </w:t>
      </w:r>
      <w:r>
        <w:br w:type="page"/>
      </w:r>
      <w:bookmarkStart w:id="13" w:name="_o9eb29vzrwvl" w:colFirst="0" w:colLast="0"/>
      <w:bookmarkStart w:id="14" w:name="_q7exfiqaehxn" w:colFirst="0" w:colLast="0"/>
      <w:bookmarkStart w:id="15" w:name="_v0mu4ombeuu4" w:colFirst="0" w:colLast="0"/>
      <w:bookmarkEnd w:id="13"/>
      <w:bookmarkEnd w:id="14"/>
      <w:bookmarkEnd w:id="15"/>
    </w:p>
    <w:p w14:paraId="27FB3E73" w14:textId="36DFB2C0" w:rsidR="006C28E9" w:rsidRPr="006C28E9" w:rsidRDefault="001F7420" w:rsidP="006C28E9">
      <w:pPr>
        <w:pStyle w:val="Heading2"/>
      </w:pPr>
      <w:r>
        <w:rPr>
          <w:bCs/>
          <w:color w:val="000000"/>
        </w:rPr>
        <w:lastRenderedPageBreak/>
        <w:t>TREX DME</w:t>
      </w:r>
    </w:p>
    <w:p w14:paraId="6C9795EB" w14:textId="77777777" w:rsidR="006C28E9" w:rsidRDefault="006C28E9" w:rsidP="006C28E9"/>
    <w:p w14:paraId="0E5F57E7" w14:textId="27775B14" w:rsidR="006C28E9" w:rsidRDefault="001F7420" w:rsidP="006C28E9">
      <w:pPr>
        <w:pStyle w:val="NormalWeb"/>
        <w:spacing w:before="0" w:beforeAutospacing="0" w:after="0" w:afterAutospacing="0"/>
        <w:rPr>
          <w:rFonts w:ascii="Arial" w:hAnsi="Arial" w:cs="Arial"/>
          <w:b/>
          <w:bCs/>
          <w:color w:val="000000"/>
          <w:sz w:val="22"/>
          <w:szCs w:val="22"/>
        </w:rPr>
      </w:pPr>
      <w:r>
        <w:rPr>
          <w:rFonts w:ascii="Arial" w:hAnsi="Arial" w:cs="Arial"/>
          <w:bCs/>
          <w:color w:val="000000"/>
          <w:sz w:val="22"/>
          <w:szCs w:val="22"/>
        </w:rPr>
        <w:t xml:space="preserve">Year 1 </w:t>
      </w:r>
      <w:r w:rsidRPr="001F7420">
        <w:rPr>
          <w:rFonts w:ascii="Arial" w:hAnsi="Arial" w:cs="Arial"/>
          <w:bCs/>
          <w:color w:val="000000"/>
          <w:sz w:val="22"/>
          <w:szCs w:val="22"/>
        </w:rPr>
        <w:t>–</w:t>
      </w:r>
      <w:r>
        <w:rPr>
          <w:rFonts w:ascii="Arial" w:hAnsi="Arial" w:cs="Arial"/>
          <w:b/>
          <w:bCs/>
          <w:color w:val="000000"/>
          <w:sz w:val="22"/>
          <w:szCs w:val="22"/>
        </w:rPr>
        <w:t xml:space="preserve"> </w:t>
      </w:r>
      <w:r w:rsidR="006C28E9">
        <w:rPr>
          <w:rFonts w:ascii="Arial" w:hAnsi="Arial" w:cs="Arial"/>
          <w:b/>
          <w:bCs/>
          <w:color w:val="000000"/>
          <w:sz w:val="22"/>
          <w:szCs w:val="22"/>
        </w:rPr>
        <w:t xml:space="preserve">Randomized Trial of Treat and Extend </w:t>
      </w:r>
      <w:proofErr w:type="spellStart"/>
      <w:r w:rsidR="006C28E9">
        <w:rPr>
          <w:rFonts w:ascii="Arial" w:hAnsi="Arial" w:cs="Arial"/>
          <w:b/>
          <w:bCs/>
          <w:color w:val="000000"/>
          <w:sz w:val="22"/>
          <w:szCs w:val="22"/>
        </w:rPr>
        <w:t>Ranibizumab</w:t>
      </w:r>
      <w:proofErr w:type="spellEnd"/>
      <w:r w:rsidR="006C28E9">
        <w:rPr>
          <w:rFonts w:ascii="Arial" w:hAnsi="Arial" w:cs="Arial"/>
          <w:b/>
          <w:bCs/>
          <w:color w:val="000000"/>
          <w:sz w:val="22"/>
          <w:szCs w:val="22"/>
        </w:rPr>
        <w:t xml:space="preserve"> with and without Navigated Laser for DME</w:t>
      </w:r>
      <w:r w:rsidR="00311391">
        <w:rPr>
          <w:rFonts w:ascii="Arial" w:hAnsi="Arial" w:cs="Arial"/>
          <w:b/>
          <w:bCs/>
          <w:color w:val="000000"/>
          <w:sz w:val="22"/>
          <w:szCs w:val="22"/>
        </w:rPr>
        <w:fldChar w:fldCharType="begin"/>
      </w:r>
      <w:r w:rsidR="00B40100">
        <w:rPr>
          <w:rFonts w:ascii="Arial" w:hAnsi="Arial" w:cs="Arial"/>
          <w:b/>
          <w:bCs/>
          <w:color w:val="000000"/>
          <w:sz w:val="22"/>
          <w:szCs w:val="22"/>
        </w:rPr>
        <w:instrText xml:space="preserve"> ADDIN ZOTERO_ITEM CSL_CITATION {"citationID":"dKB1IsYH","properties":{"formattedCitation":"\\super 4\\nosupersub{}","plainCitation":"4","noteIndex":0},"citationItems":[{"id":144,"uris":["http://zotero.org/users/local/VCYpCIhB/items/EGDG75DR"],"itemData":{"id":144,"type":"article-journal","abstract":"Purpose: To compare monthly dosing with a treat and extend algorithm using ranibizumab 0.3 mg with and without angiography-guided macular laser photocoagulation for center-involving diabetic macular edema (DME). Design: Multicenter, prospective, randomized clinical trial. Participants: A total of 150 eyes from 116 subjects were randomized into 3 cohorts: Monthly (n ¼ 30), TReat and EXtend without macular laser photocoagulation (TREX; n ¼ 60), and treat and extend with angiographyGuIded macular LAser photocoagulation (GILA; n ¼ 60).\nMethods: Monthly cohort eyes received ranibizumab 0.3 mg every 4 weeks. Eyes in the TREX and GILA cohorts received 4 monthly injections of ranibizumab 0.3 mg followed by a treat and extend algorithm based on disease activity. Eyes in the GILA cohort also received angiography-guided macular laser photocoagulation at month 1 and again every 3 months for microaneurysm leakage. Main Outcome Measures: Change in mean best-corrected visual acuity (BCVA), mean central retinal thickness (CRT), number of injections from baseline to 1 year, and percentage gaining/losing 2 and 3 lines of vision.\nResults: Baseline demographics were well balanced among the cohorts. A total of 137 eyes (91%) completed the 1-year end point visit. At 1 year, the mean BCVA improved by 8.6, 9.6, and 9.5 letters in the Monthly, TREX, and GILA cohorts, respectively (P ¼ 0.8). There was no signiﬁcant difference between the cohorts in the percentage gaining/losing 2 and 3 lines of vision. The CRT improved by 123 mm, 146 mm, and 166 mm in the Monthly, TREX, and GILA cohorts, respectively (P ¼ 0.47). The mean number of macular laser treatments in the GILA cohort at 1 year was 2.9 (range, 1e4). The number of injections was signiﬁcantly reduced in both the TREX (10.7) and GILA (10.1) cohorts compared with the Monthly cohort (13.1, P &lt; 0.001). There were no cases of endophthalmitis, and the total incidence of Anti-Platelet Trialists’ Collaboration events was 4.7%.\nConclusions: This prospective, randomized trial found that treat and extend dosing of ranibizumab 0.3 mg with and without angiography-guided macular laser photocoagulation signiﬁcantly decreased the number of injections given while providing similar visual and anatomic outcomes compared with monthly dosing at 1 year. Adding angiography-guided laser photocoagulation to this dosing algorithm did not signiﬁcantly improve outcomes at 1 year. Ophthalmology 2017;124:74-81 ª 2016 by the American Academy of Ophthalmology","container-title":"Ophthalmology","DOI":"10.1016/j.ophtha.2016.09.021","ISSN":"01616420","issue":"1","journalAbbreviation":"Ophthalmology","language":"en","page":"74-81","source":"DOI.org (Crossref)","title":"Randomized Trial of Treat and Extend Ranibizumab with and without Navigated Laser for Diabetic Macular Edema","volume":"124","author":[{"family":"Payne","given":"John F."},{"family":"Wykoff","given":"Charles C."},{"family":"Clark","given":"W. Lloyd"},{"family":"Bruce","given":"Beau B."},{"family":"Boyer","given":"David S."},{"family":"Brown","given":"David M."}],"issued":{"date-parts":[["2017",1]]}}}],"schema":"https://github.com/citation-style-language/schema/raw/master/csl-citation.json"} </w:instrText>
      </w:r>
      <w:r w:rsidR="00311391">
        <w:rPr>
          <w:rFonts w:ascii="Arial" w:hAnsi="Arial" w:cs="Arial"/>
          <w:b/>
          <w:bCs/>
          <w:color w:val="000000"/>
          <w:sz w:val="22"/>
          <w:szCs w:val="22"/>
        </w:rPr>
        <w:fldChar w:fldCharType="separate"/>
      </w:r>
      <w:r w:rsidR="00B40100" w:rsidRPr="00B40100">
        <w:rPr>
          <w:rFonts w:ascii="Arial" w:hAnsi="Arial" w:cs="Arial"/>
          <w:sz w:val="22"/>
          <w:vertAlign w:val="superscript"/>
        </w:rPr>
        <w:t>4</w:t>
      </w:r>
      <w:r w:rsidR="00311391">
        <w:rPr>
          <w:rFonts w:ascii="Arial" w:hAnsi="Arial" w:cs="Arial"/>
          <w:b/>
          <w:bCs/>
          <w:color w:val="000000"/>
          <w:sz w:val="22"/>
          <w:szCs w:val="22"/>
        </w:rPr>
        <w:fldChar w:fldCharType="end"/>
      </w:r>
    </w:p>
    <w:p w14:paraId="4D948E7C" w14:textId="572B1179" w:rsidR="001F7420" w:rsidRDefault="001F7420" w:rsidP="006C28E9">
      <w:pPr>
        <w:pStyle w:val="NormalWeb"/>
        <w:spacing w:before="0" w:beforeAutospacing="0" w:after="0" w:afterAutospacing="0"/>
        <w:rPr>
          <w:rFonts w:ascii="Arial" w:hAnsi="Arial" w:cs="Arial"/>
          <w:b/>
          <w:bCs/>
          <w:color w:val="000000"/>
          <w:sz w:val="22"/>
          <w:szCs w:val="22"/>
        </w:rPr>
      </w:pPr>
    </w:p>
    <w:p w14:paraId="2A4A3469" w14:textId="3469054F" w:rsidR="001F7420" w:rsidRPr="001F7420" w:rsidRDefault="001F7420" w:rsidP="006C28E9">
      <w:pPr>
        <w:pStyle w:val="NormalWeb"/>
        <w:spacing w:before="0" w:beforeAutospacing="0" w:after="0" w:afterAutospacing="0"/>
        <w:rPr>
          <w:b/>
        </w:rPr>
      </w:pPr>
      <w:r w:rsidRPr="001F7420">
        <w:rPr>
          <w:rFonts w:ascii="Arial" w:hAnsi="Arial" w:cs="Arial"/>
          <w:bCs/>
          <w:color w:val="000000"/>
          <w:sz w:val="22"/>
          <w:szCs w:val="22"/>
        </w:rPr>
        <w:t>Year 2 –</w:t>
      </w:r>
      <w:r>
        <w:rPr>
          <w:rFonts w:ascii="Arial" w:hAnsi="Arial" w:cs="Arial"/>
          <w:b/>
          <w:bCs/>
          <w:color w:val="000000"/>
          <w:sz w:val="22"/>
          <w:szCs w:val="22"/>
        </w:rPr>
        <w:t xml:space="preserve"> </w:t>
      </w:r>
      <w:r w:rsidRPr="00305356">
        <w:rPr>
          <w:rFonts w:ascii="Arial" w:hAnsi="Arial" w:cs="Arial"/>
          <w:b/>
          <w:color w:val="000000"/>
          <w:sz w:val="22"/>
          <w:szCs w:val="22"/>
        </w:rPr>
        <w:t xml:space="preserve">Randomized Trial of Treat and Extend </w:t>
      </w:r>
      <w:proofErr w:type="spellStart"/>
      <w:r w:rsidRPr="00305356">
        <w:rPr>
          <w:rFonts w:ascii="Arial" w:hAnsi="Arial" w:cs="Arial"/>
          <w:b/>
          <w:color w:val="000000"/>
          <w:sz w:val="22"/>
          <w:szCs w:val="22"/>
        </w:rPr>
        <w:t>Ranibizumab</w:t>
      </w:r>
      <w:proofErr w:type="spellEnd"/>
      <w:r w:rsidRPr="00305356">
        <w:rPr>
          <w:rFonts w:ascii="Arial" w:hAnsi="Arial" w:cs="Arial"/>
          <w:b/>
          <w:color w:val="000000"/>
          <w:sz w:val="22"/>
          <w:szCs w:val="22"/>
        </w:rPr>
        <w:t xml:space="preserve"> With and Without Navigated Laser Versus Monthly Dosing for </w:t>
      </w:r>
      <w:r>
        <w:rPr>
          <w:rFonts w:ascii="Arial" w:hAnsi="Arial" w:cs="Arial"/>
          <w:b/>
          <w:color w:val="000000"/>
          <w:sz w:val="22"/>
          <w:szCs w:val="22"/>
        </w:rPr>
        <w:t>Diabetic Macular Edema: TREX-DME 2-Year Outcomes</w:t>
      </w:r>
      <w:r w:rsidR="00311391">
        <w:rPr>
          <w:rFonts w:ascii="Arial" w:hAnsi="Arial" w:cs="Arial"/>
          <w:b/>
          <w:color w:val="000000"/>
          <w:sz w:val="22"/>
          <w:szCs w:val="22"/>
        </w:rPr>
        <w:fldChar w:fldCharType="begin"/>
      </w:r>
      <w:r w:rsidR="00B40100">
        <w:rPr>
          <w:rFonts w:ascii="Arial" w:hAnsi="Arial" w:cs="Arial"/>
          <w:b/>
          <w:color w:val="000000"/>
          <w:sz w:val="22"/>
          <w:szCs w:val="22"/>
        </w:rPr>
        <w:instrText xml:space="preserve"> ADDIN ZOTERO_ITEM CSL_CITATION {"citationID":"PZrjptqM","properties":{"formattedCitation":"\\super 5\\nosupersub{}","plainCitation":"5","noteIndex":0},"citationItems":[{"id":145,"uris":["http://zotero.org/users/local/VCYpCIhB/items/K7TE3245"],"itemData":{"id":145,"type":"article-journal","container-title":"American Journal of Ophthalmology","DOI":"10.1016/j.ajo.2019.02.005","ISSN":"00029394","journalAbbreviation":"American Journal of Ophthalmology","language":"en","page":"91-99","source":"DOI.org (Crossref)","title":"Randomized Trial of Treat and Extend Ranibizumab With and Without Navigated Laser Versus Monthly Dosing for Diabetic Macular Edema: TREX-DME 2-Year Outcomes","title-short":"Randomized Trial of Treat and Extend Ranibizumab With and Without Navigated Laser Versus Monthly Dosing for Diabetic Macular Edema","volume":"202","author":[{"family":"Payne","given":"John F."},{"family":"Wykoff","given":"Charles C."},{"family":"Clark","given":"W. Lloyd"},{"family":"Bruce","given":"Beau B."},{"family":"Boyer","given":"David S."},{"family":"Brown","given":"David M."},{"family":"Payne","given":"John F."},{"family":"Clark","given":"W. Lloyd"},{"family":"Wells","given":"John A."},{"family":"Johnson","given":"David L."},{"family":"Wykoff","given":"Charles C."},{"family":"Brown","given":"David M."},{"family":"Benz","given":"Matthew"},{"family":"Chen","given":"Eric"},{"family":"Fish","given":"Richard H."},{"family":"Kim","given":"Rosa Y."},{"family":"Major","given":"James C."},{"family":"O'Malley","given":"Ronan E."},{"family":"Schefler","given":"Amy C."},{"family":"Shah","given":"Ankoor R."},{"family":"Wong","given":"Tien P."},{"family":"Boyer","given":"David S."},{"family":"Novack","given":"Roger L."},{"family":"Chu","given":"Thomas G."},{"family":"Rahhal","given":"Firas"},{"family":"Tabandeh","given":"Homayoun"},{"family":"Roe","given":"Richard H."},{"family":"Dayani","given":"Pouya N."},{"family":"Liao","given":"David"},{"family":"Walsh","given":"Alexander"},{"family":"Esmaili","given":"Daniel D."}],"issued":{"date-parts":[["2019",6]]}}}],"schema":"https://github.com/citation-style-language/schema/raw/master/csl-citation.json"} </w:instrText>
      </w:r>
      <w:r w:rsidR="00311391">
        <w:rPr>
          <w:rFonts w:ascii="Arial" w:hAnsi="Arial" w:cs="Arial"/>
          <w:b/>
          <w:color w:val="000000"/>
          <w:sz w:val="22"/>
          <w:szCs w:val="22"/>
        </w:rPr>
        <w:fldChar w:fldCharType="separate"/>
      </w:r>
      <w:r w:rsidR="00B40100" w:rsidRPr="00B40100">
        <w:rPr>
          <w:rFonts w:ascii="Arial" w:hAnsi="Arial" w:cs="Arial"/>
          <w:sz w:val="22"/>
          <w:vertAlign w:val="superscript"/>
        </w:rPr>
        <w:t>5</w:t>
      </w:r>
      <w:r w:rsidR="00311391">
        <w:rPr>
          <w:rFonts w:ascii="Arial" w:hAnsi="Arial" w:cs="Arial"/>
          <w:b/>
          <w:color w:val="000000"/>
          <w:sz w:val="22"/>
          <w:szCs w:val="22"/>
        </w:rPr>
        <w:fldChar w:fldCharType="end"/>
      </w:r>
    </w:p>
    <w:p w14:paraId="25BBC5F0" w14:textId="0B41C6BC" w:rsidR="001F7420" w:rsidRDefault="001F7420" w:rsidP="006C28E9">
      <w:pPr>
        <w:pStyle w:val="NormalWeb"/>
        <w:spacing w:before="0" w:beforeAutospacing="0" w:after="0" w:afterAutospacing="0"/>
        <w:rPr>
          <w:rFonts w:ascii="Arial" w:hAnsi="Arial" w:cs="Arial"/>
          <w:b/>
          <w:bCs/>
          <w:color w:val="000000"/>
          <w:sz w:val="22"/>
          <w:szCs w:val="22"/>
        </w:rPr>
      </w:pPr>
    </w:p>
    <w:p w14:paraId="53704DAE" w14:textId="23AFB61A" w:rsidR="001F7420" w:rsidRPr="001F7420" w:rsidRDefault="001F7420" w:rsidP="006C28E9">
      <w:pPr>
        <w:pStyle w:val="NormalWeb"/>
        <w:spacing w:before="0" w:beforeAutospacing="0" w:after="0" w:afterAutospacing="0"/>
        <w:rPr>
          <w:b/>
        </w:rPr>
      </w:pPr>
      <w:r w:rsidRPr="001F7420">
        <w:rPr>
          <w:rFonts w:ascii="Arial" w:hAnsi="Arial" w:cs="Arial"/>
          <w:bCs/>
          <w:color w:val="000000"/>
          <w:sz w:val="22"/>
          <w:szCs w:val="22"/>
        </w:rPr>
        <w:t>Year 3 –</w:t>
      </w:r>
      <w:r>
        <w:rPr>
          <w:rFonts w:ascii="Arial" w:hAnsi="Arial" w:cs="Arial"/>
          <w:b/>
          <w:bCs/>
          <w:color w:val="000000"/>
          <w:sz w:val="22"/>
          <w:szCs w:val="22"/>
        </w:rPr>
        <w:t xml:space="preserve"> </w:t>
      </w:r>
      <w:r w:rsidRPr="00040C76">
        <w:rPr>
          <w:rFonts w:ascii="Arial" w:hAnsi="Arial" w:cs="Arial"/>
          <w:b/>
          <w:color w:val="000000"/>
          <w:sz w:val="22"/>
          <w:szCs w:val="22"/>
        </w:rPr>
        <w:t>Long</w:t>
      </w:r>
      <w:r>
        <w:rPr>
          <w:rFonts w:ascii="Arial" w:hAnsi="Arial" w:cs="Arial"/>
          <w:b/>
          <w:color w:val="000000"/>
          <w:sz w:val="22"/>
          <w:szCs w:val="22"/>
        </w:rPr>
        <w:t>-Term Outcomes o</w:t>
      </w:r>
      <w:r w:rsidRPr="00040C76">
        <w:rPr>
          <w:rFonts w:ascii="Arial" w:hAnsi="Arial" w:cs="Arial"/>
          <w:b/>
          <w:color w:val="000000"/>
          <w:sz w:val="22"/>
          <w:szCs w:val="22"/>
        </w:rPr>
        <w:t>f Tre</w:t>
      </w:r>
      <w:r>
        <w:rPr>
          <w:rFonts w:ascii="Arial" w:hAnsi="Arial" w:cs="Arial"/>
          <w:b/>
          <w:color w:val="000000"/>
          <w:sz w:val="22"/>
          <w:szCs w:val="22"/>
        </w:rPr>
        <w:t xml:space="preserve">at-And-Extend </w:t>
      </w:r>
      <w:proofErr w:type="spellStart"/>
      <w:r>
        <w:rPr>
          <w:rFonts w:ascii="Arial" w:hAnsi="Arial" w:cs="Arial"/>
          <w:b/>
          <w:color w:val="000000"/>
          <w:sz w:val="22"/>
          <w:szCs w:val="22"/>
        </w:rPr>
        <w:t>Ranibizumab</w:t>
      </w:r>
      <w:proofErr w:type="spellEnd"/>
      <w:r>
        <w:rPr>
          <w:rFonts w:ascii="Arial" w:hAnsi="Arial" w:cs="Arial"/>
          <w:b/>
          <w:color w:val="000000"/>
          <w:sz w:val="22"/>
          <w:szCs w:val="22"/>
        </w:rPr>
        <w:t xml:space="preserve"> With and Without Navigated Laser f</w:t>
      </w:r>
      <w:r w:rsidRPr="00040C76">
        <w:rPr>
          <w:rFonts w:ascii="Arial" w:hAnsi="Arial" w:cs="Arial"/>
          <w:b/>
          <w:color w:val="000000"/>
          <w:sz w:val="22"/>
          <w:szCs w:val="22"/>
        </w:rPr>
        <w:t xml:space="preserve">or </w:t>
      </w:r>
      <w:r>
        <w:rPr>
          <w:rFonts w:ascii="Arial" w:hAnsi="Arial" w:cs="Arial"/>
          <w:b/>
          <w:color w:val="000000"/>
          <w:sz w:val="22"/>
          <w:szCs w:val="22"/>
        </w:rPr>
        <w:t xml:space="preserve">Diabetic Macular </w:t>
      </w:r>
      <w:proofErr w:type="spellStart"/>
      <w:r>
        <w:rPr>
          <w:rFonts w:ascii="Arial" w:hAnsi="Arial" w:cs="Arial"/>
          <w:b/>
          <w:color w:val="000000"/>
          <w:sz w:val="22"/>
          <w:szCs w:val="22"/>
        </w:rPr>
        <w:t>Oedema</w:t>
      </w:r>
      <w:proofErr w:type="spellEnd"/>
      <w:r w:rsidRPr="00040C76">
        <w:rPr>
          <w:rFonts w:ascii="Arial" w:hAnsi="Arial" w:cs="Arial"/>
          <w:b/>
          <w:color w:val="000000"/>
          <w:sz w:val="22"/>
          <w:szCs w:val="22"/>
        </w:rPr>
        <w:t>: TREX-DME 3-Year Results</w:t>
      </w:r>
      <w:r w:rsidR="00311391">
        <w:rPr>
          <w:rFonts w:ascii="Arial" w:hAnsi="Arial" w:cs="Arial"/>
          <w:b/>
          <w:color w:val="000000"/>
          <w:sz w:val="22"/>
          <w:szCs w:val="22"/>
        </w:rPr>
        <w:fldChar w:fldCharType="begin"/>
      </w:r>
      <w:r w:rsidR="00B40100">
        <w:rPr>
          <w:rFonts w:ascii="Arial" w:hAnsi="Arial" w:cs="Arial"/>
          <w:b/>
          <w:color w:val="000000"/>
          <w:sz w:val="22"/>
          <w:szCs w:val="22"/>
        </w:rPr>
        <w:instrText xml:space="preserve"> ADDIN ZOTERO_ITEM CSL_CITATION {"citationID":"DOSeS0mZ","properties":{"formattedCitation":"\\super 6\\nosupersub{}","plainCitation":"6","noteIndex":0},"citationItems":[{"id":146,"uris":["http://zotero.org/users/local/VCYpCIhB/items/LHTDWRE8"],"itemData":{"id":146,"type":"article-journal","abstract":"Background/aims  To evaluate the long-­term effects of treat-­and-­extend dosing of ranibizumab with and without navigated focal laser for diabetic macular oedema (DME).\nMethods  This is a multicentre, randomised clinical trial where 150 eyes were randomised into three cohorts; Monthly (n=30), TReat and EXtend without macular laser photocoagulation (TREX; n=60), and treat and extend with angiography-­GuIded macular LAser photocoagulation (GILA; n=60). During the first 2 years, eyes either received ranibizumab 0.3 mg every 4 weeks or underwent treat-­and-­extend ranibizumab with or without angiography-­guided laser therapy. In the third year, all eyes were treated as needed with ranibizumab for &gt;5 letters vision loss or if the central retinal thickness (CRT) was &gt;325 µm, and all eyes were eligible to receive focal laser.\nResults  109 eyes (73%) completed the 3-­year end-­ point. At week 156, mean best-­corrected visual acuity (BCVA) and CRT improved by 6.9, 9.7, 9.5 letters (p=0.60) and 129, 138, 165 µm (p=0.39), in the Monthly, TREX and GILA cohorts, respectively. These improvements were reached prior to week 104 and no significant changes occurred from week 104 to week 156 (BCVA: p=0.34; CRT: p=0.36). The mean number of injections in the third year was 3.0, 3.1, and 2.4 in the Monthly, TREX and GILA cohorts, respectively (p=0.56). 86 eyes (79%) required at least one ranibizumab injection in the third year.\nConclusion  The improvements achieved after 2 years of treat-­and-­extend ranibizumab for DME were maintained in the third year with a mean of 3 intravitreal injections. Trial registration number  FDA IND 119146, NCT01934556.","container-title":"British Journal of Ophthalmology","DOI":"10.1136/bjophthalmol-2020-316176","ISSN":"0007-1161, 1468-2079","issue":"2","journalAbbreviation":"Br J Ophthalmol","language":"en","page":"253-257","source":"DOI.org (Crossref)","title":"Long-term outcomes of treat-and-extend ranibizumab with and without navigated laser for diabetic macular oedema: TREX-DME 3-year results","title-short":"Long-term outcomes of treat-and-extend ranibizumab with and without navigated laser for diabetic macular oedema","volume":"105","author":[{"family":"Payne","given":"John F."},{"family":"Wykoff","given":"Charles C."},{"family":"Clark","given":"W. Lloyd"},{"family":"Bruce","given":"Beau B."},{"family":"Boyer","given":"David S."},{"family":"Brown","given":"David M."}],"issued":{"date-parts":[["2021",2]]}}}],"schema":"https://github.com/citation-style-language/schema/raw/master/csl-citation.json"} </w:instrText>
      </w:r>
      <w:r w:rsidR="00311391">
        <w:rPr>
          <w:rFonts w:ascii="Arial" w:hAnsi="Arial" w:cs="Arial"/>
          <w:b/>
          <w:color w:val="000000"/>
          <w:sz w:val="22"/>
          <w:szCs w:val="22"/>
        </w:rPr>
        <w:fldChar w:fldCharType="separate"/>
      </w:r>
      <w:r w:rsidR="00B40100" w:rsidRPr="00B40100">
        <w:rPr>
          <w:rFonts w:ascii="Arial" w:hAnsi="Arial" w:cs="Arial"/>
          <w:sz w:val="22"/>
          <w:vertAlign w:val="superscript"/>
        </w:rPr>
        <w:t>6</w:t>
      </w:r>
      <w:r w:rsidR="00311391">
        <w:rPr>
          <w:rFonts w:ascii="Arial" w:hAnsi="Arial" w:cs="Arial"/>
          <w:b/>
          <w:color w:val="000000"/>
          <w:sz w:val="22"/>
          <w:szCs w:val="22"/>
        </w:rPr>
        <w:fldChar w:fldCharType="end"/>
      </w:r>
    </w:p>
    <w:p w14:paraId="3C525544" w14:textId="77777777" w:rsidR="001F7420" w:rsidRPr="001F7420" w:rsidRDefault="001F7420" w:rsidP="006C28E9">
      <w:pPr>
        <w:pStyle w:val="NormalWeb"/>
        <w:spacing w:before="0" w:beforeAutospacing="0" w:after="0" w:afterAutospacing="0"/>
        <w:rPr>
          <w:rFonts w:ascii="Arial" w:hAnsi="Arial" w:cs="Arial"/>
          <w:b/>
          <w:bCs/>
          <w:color w:val="000000"/>
          <w:sz w:val="22"/>
          <w:szCs w:val="22"/>
        </w:rPr>
      </w:pPr>
    </w:p>
    <w:p w14:paraId="7ABBF262" w14:textId="77777777" w:rsidR="006C28E9" w:rsidRDefault="006C28E9" w:rsidP="006C28E9"/>
    <w:p w14:paraId="174EA605" w14:textId="77777777" w:rsidR="006C28E9" w:rsidRDefault="006C28E9" w:rsidP="006C28E9">
      <w:pPr>
        <w:pStyle w:val="NormalWeb"/>
        <w:spacing w:before="0" w:beforeAutospacing="0" w:after="0" w:afterAutospacing="0"/>
      </w:pPr>
      <w:r>
        <w:rPr>
          <w:rFonts w:ascii="Arial" w:hAnsi="Arial" w:cs="Arial"/>
          <w:color w:val="000000"/>
          <w:sz w:val="22"/>
          <w:szCs w:val="22"/>
        </w:rPr>
        <w:t>Phase I/II, multicenter, prospective, randomized, controlled clinical trial</w:t>
      </w:r>
    </w:p>
    <w:p w14:paraId="3F43D094" w14:textId="77777777" w:rsidR="006C28E9" w:rsidRDefault="006C28E9" w:rsidP="00415ABE">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Palmetto Retina Center (West Columbia, SC)</w:t>
      </w:r>
    </w:p>
    <w:p w14:paraId="27A5918A" w14:textId="77777777" w:rsidR="006C28E9" w:rsidRDefault="006C28E9" w:rsidP="00415ABE">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Retina Consultants of Houston (Houston, TX)</w:t>
      </w:r>
    </w:p>
    <w:p w14:paraId="7723836D" w14:textId="4ADA1A89" w:rsidR="006C28E9" w:rsidRPr="00690949" w:rsidRDefault="006C28E9" w:rsidP="006C28E9">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Retina-Vitreous Associates Medical Group (Los Angeles, CA)</w:t>
      </w:r>
    </w:p>
    <w:p w14:paraId="2875E935" w14:textId="77777777" w:rsidR="006C28E9" w:rsidRPr="006C28E9" w:rsidRDefault="006C28E9" w:rsidP="006C28E9">
      <w:pPr>
        <w:pStyle w:val="Heading3"/>
      </w:pPr>
      <w:r w:rsidRPr="006C28E9">
        <w:rPr>
          <w:bCs/>
        </w:rPr>
        <w:t>Purpose</w:t>
      </w:r>
    </w:p>
    <w:p w14:paraId="3BA82976" w14:textId="66CCBE8A" w:rsidR="0023637D" w:rsidRDefault="0023637D" w:rsidP="00415ABE">
      <w:pPr>
        <w:pStyle w:val="NormalWeb"/>
        <w:numPr>
          <w:ilvl w:val="0"/>
          <w:numId w:val="2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Compare three dosing approaches using </w:t>
      </w:r>
      <w:proofErr w:type="spellStart"/>
      <w:r>
        <w:rPr>
          <w:rFonts w:ascii="Arial" w:hAnsi="Arial" w:cs="Arial"/>
          <w:color w:val="000000"/>
          <w:sz w:val="22"/>
          <w:szCs w:val="22"/>
        </w:rPr>
        <w:t>ranibizumab</w:t>
      </w:r>
      <w:proofErr w:type="spellEnd"/>
      <w:r>
        <w:rPr>
          <w:rFonts w:ascii="Arial" w:hAnsi="Arial" w:cs="Arial"/>
          <w:color w:val="000000"/>
          <w:sz w:val="22"/>
          <w:szCs w:val="22"/>
        </w:rPr>
        <w:t xml:space="preserve"> 0.3 mg for eyes with center-involving DME:</w:t>
      </w:r>
    </w:p>
    <w:p w14:paraId="5984C831" w14:textId="21644A92" w:rsidR="0023637D" w:rsidRDefault="0023637D" w:rsidP="0023637D">
      <w:pPr>
        <w:pStyle w:val="NormalWeb"/>
        <w:numPr>
          <w:ilvl w:val="1"/>
          <w:numId w:val="2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Monthly dosing</w:t>
      </w:r>
    </w:p>
    <w:p w14:paraId="3FEB1F86" w14:textId="181A092E" w:rsidR="0023637D" w:rsidRDefault="0023637D" w:rsidP="0023637D">
      <w:pPr>
        <w:pStyle w:val="NormalWeb"/>
        <w:numPr>
          <w:ilvl w:val="1"/>
          <w:numId w:val="2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Treat and extend algorithm with angiography-guided macular laser photocoagulation</w:t>
      </w:r>
    </w:p>
    <w:p w14:paraId="39DED7CB" w14:textId="78B6AEDB" w:rsidR="0023637D" w:rsidRPr="0023637D" w:rsidRDefault="0023637D" w:rsidP="0023637D">
      <w:pPr>
        <w:pStyle w:val="NormalWeb"/>
        <w:numPr>
          <w:ilvl w:val="1"/>
          <w:numId w:val="2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Treat and extend algorithm without angiography-guided macular laser photocoagulation</w:t>
      </w:r>
    </w:p>
    <w:p w14:paraId="5A6963C3" w14:textId="77777777" w:rsidR="006C28E9" w:rsidRPr="006C28E9" w:rsidRDefault="006C28E9" w:rsidP="006C28E9">
      <w:pPr>
        <w:pStyle w:val="Heading3"/>
      </w:pPr>
      <w:r w:rsidRPr="006C28E9">
        <w:rPr>
          <w:bCs/>
        </w:rPr>
        <w:t>Design</w:t>
      </w:r>
    </w:p>
    <w:p w14:paraId="18250B8E" w14:textId="77777777" w:rsidR="006C28E9" w:rsidRDefault="006C28E9" w:rsidP="00415ABE">
      <w:pPr>
        <w:pStyle w:val="NormalWeb"/>
        <w:numPr>
          <w:ilvl w:val="0"/>
          <w:numId w:val="2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150 eyes from 116 subjects </w:t>
      </w:r>
    </w:p>
    <w:p w14:paraId="7D84E53A" w14:textId="512566BB" w:rsidR="006C28E9" w:rsidRDefault="00F41E1E" w:rsidP="00415ABE">
      <w:pPr>
        <w:pStyle w:val="NormalWeb"/>
        <w:numPr>
          <w:ilvl w:val="0"/>
          <w:numId w:val="2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3 cohorts – eyes were randomized in a </w:t>
      </w:r>
      <w:r w:rsidR="006C28E9">
        <w:rPr>
          <w:rFonts w:ascii="Arial" w:hAnsi="Arial" w:cs="Arial"/>
          <w:color w:val="000000"/>
          <w:sz w:val="22"/>
          <w:szCs w:val="22"/>
        </w:rPr>
        <w:t>1:2:2</w:t>
      </w:r>
      <w:r>
        <w:rPr>
          <w:rFonts w:ascii="Arial" w:hAnsi="Arial" w:cs="Arial"/>
          <w:color w:val="000000"/>
          <w:sz w:val="22"/>
          <w:szCs w:val="22"/>
        </w:rPr>
        <w:t xml:space="preserve"> ratio</w:t>
      </w:r>
    </w:p>
    <w:p w14:paraId="619C89E0" w14:textId="77777777" w:rsidR="006C28E9" w:rsidRDefault="006C28E9" w:rsidP="00415ABE">
      <w:pPr>
        <w:pStyle w:val="NormalWeb"/>
        <w:numPr>
          <w:ilvl w:val="1"/>
          <w:numId w:val="29"/>
        </w:numPr>
        <w:spacing w:before="0" w:beforeAutospacing="0" w:after="0" w:afterAutospacing="0"/>
        <w:textAlignment w:val="baseline"/>
        <w:rPr>
          <w:rFonts w:ascii="Arial" w:hAnsi="Arial" w:cs="Arial"/>
          <w:color w:val="000000"/>
          <w:sz w:val="22"/>
          <w:szCs w:val="22"/>
        </w:rPr>
      </w:pPr>
      <w:r w:rsidRPr="006C28E9">
        <w:rPr>
          <w:rFonts w:ascii="Arial" w:hAnsi="Arial" w:cs="Arial"/>
          <w:color w:val="000000"/>
          <w:sz w:val="22"/>
          <w:szCs w:val="22"/>
        </w:rPr>
        <w:t>Monthly (n = 30)</w:t>
      </w:r>
    </w:p>
    <w:p w14:paraId="2BFAEBFE" w14:textId="77777777" w:rsidR="006C28E9" w:rsidRDefault="006C28E9" w:rsidP="00415ABE">
      <w:pPr>
        <w:pStyle w:val="NormalWeb"/>
        <w:numPr>
          <w:ilvl w:val="2"/>
          <w:numId w:val="29"/>
        </w:numPr>
        <w:spacing w:before="0" w:beforeAutospacing="0" w:after="0" w:afterAutospacing="0"/>
        <w:textAlignment w:val="baseline"/>
        <w:rPr>
          <w:rFonts w:ascii="Arial" w:hAnsi="Arial" w:cs="Arial"/>
          <w:color w:val="000000"/>
          <w:sz w:val="22"/>
          <w:szCs w:val="22"/>
        </w:rPr>
      </w:pPr>
      <w:r w:rsidRPr="006C28E9">
        <w:rPr>
          <w:rFonts w:ascii="Arial" w:hAnsi="Arial" w:cs="Arial"/>
          <w:color w:val="000000"/>
          <w:sz w:val="22"/>
          <w:szCs w:val="22"/>
        </w:rPr>
        <w:t xml:space="preserve">0.05 ml IVT injections of </w:t>
      </w:r>
      <w:proofErr w:type="spellStart"/>
      <w:r w:rsidRPr="006C28E9">
        <w:rPr>
          <w:rFonts w:ascii="Arial" w:hAnsi="Arial" w:cs="Arial"/>
          <w:color w:val="000000"/>
          <w:sz w:val="22"/>
          <w:szCs w:val="22"/>
        </w:rPr>
        <w:t>ranibizumab</w:t>
      </w:r>
      <w:proofErr w:type="spellEnd"/>
      <w:r w:rsidRPr="006C28E9">
        <w:rPr>
          <w:rFonts w:ascii="Arial" w:hAnsi="Arial" w:cs="Arial"/>
          <w:color w:val="000000"/>
          <w:sz w:val="22"/>
          <w:szCs w:val="22"/>
        </w:rPr>
        <w:t xml:space="preserve"> 0.3 mg every 4 weeks</w:t>
      </w:r>
    </w:p>
    <w:p w14:paraId="1960334D" w14:textId="77777777" w:rsidR="006C28E9" w:rsidRDefault="006C28E9" w:rsidP="00415ABE">
      <w:pPr>
        <w:pStyle w:val="NormalWeb"/>
        <w:numPr>
          <w:ilvl w:val="1"/>
          <w:numId w:val="29"/>
        </w:numPr>
        <w:spacing w:before="0" w:beforeAutospacing="0" w:after="0" w:afterAutospacing="0"/>
        <w:textAlignment w:val="baseline"/>
        <w:rPr>
          <w:rFonts w:ascii="Arial" w:hAnsi="Arial" w:cs="Arial"/>
          <w:color w:val="000000"/>
          <w:sz w:val="22"/>
          <w:szCs w:val="22"/>
        </w:rPr>
      </w:pPr>
      <w:r w:rsidRPr="006C28E9">
        <w:rPr>
          <w:rFonts w:ascii="Arial" w:hAnsi="Arial" w:cs="Arial"/>
          <w:color w:val="000000"/>
          <w:sz w:val="22"/>
          <w:szCs w:val="22"/>
        </w:rPr>
        <w:t>TREX (n = 60)</w:t>
      </w:r>
    </w:p>
    <w:p w14:paraId="402D7567" w14:textId="0CAE9F7C" w:rsidR="006C28E9" w:rsidRDefault="006C28E9" w:rsidP="00415ABE">
      <w:pPr>
        <w:pStyle w:val="NormalWeb"/>
        <w:numPr>
          <w:ilvl w:val="2"/>
          <w:numId w:val="29"/>
        </w:numPr>
        <w:spacing w:before="0" w:beforeAutospacing="0" w:after="0" w:afterAutospacing="0"/>
        <w:textAlignment w:val="baseline"/>
        <w:rPr>
          <w:rFonts w:ascii="Arial" w:hAnsi="Arial" w:cs="Arial"/>
          <w:color w:val="000000"/>
          <w:sz w:val="22"/>
          <w:szCs w:val="22"/>
        </w:rPr>
      </w:pPr>
      <w:r w:rsidRPr="006C28E9">
        <w:rPr>
          <w:rFonts w:ascii="Arial" w:hAnsi="Arial" w:cs="Arial"/>
          <w:color w:val="000000"/>
          <w:sz w:val="22"/>
          <w:szCs w:val="22"/>
        </w:rPr>
        <w:t xml:space="preserve">TREX = </w:t>
      </w:r>
      <w:r w:rsidR="0023637D">
        <w:rPr>
          <w:rFonts w:ascii="Arial" w:hAnsi="Arial" w:cs="Arial"/>
          <w:color w:val="000000"/>
          <w:sz w:val="22"/>
          <w:szCs w:val="22"/>
        </w:rPr>
        <w:t>treat</w:t>
      </w:r>
      <w:r w:rsidRPr="006C28E9">
        <w:rPr>
          <w:rFonts w:ascii="Arial" w:hAnsi="Arial" w:cs="Arial"/>
          <w:color w:val="000000"/>
          <w:sz w:val="22"/>
          <w:szCs w:val="22"/>
        </w:rPr>
        <w:t xml:space="preserve"> and </w:t>
      </w:r>
      <w:r w:rsidR="0023637D">
        <w:rPr>
          <w:rFonts w:ascii="Arial" w:hAnsi="Arial" w:cs="Arial"/>
          <w:color w:val="000000"/>
          <w:sz w:val="22"/>
          <w:szCs w:val="22"/>
        </w:rPr>
        <w:t>extend</w:t>
      </w:r>
      <w:r w:rsidRPr="006C28E9">
        <w:rPr>
          <w:rFonts w:ascii="Arial" w:hAnsi="Arial" w:cs="Arial"/>
          <w:color w:val="000000"/>
          <w:sz w:val="22"/>
          <w:szCs w:val="22"/>
        </w:rPr>
        <w:t xml:space="preserve"> without macular laser photocoagulation</w:t>
      </w:r>
    </w:p>
    <w:p w14:paraId="225978E1" w14:textId="4394F1EC" w:rsidR="006C28E9" w:rsidRDefault="006C28E9" w:rsidP="00415ABE">
      <w:pPr>
        <w:pStyle w:val="NormalWeb"/>
        <w:numPr>
          <w:ilvl w:val="2"/>
          <w:numId w:val="29"/>
        </w:numPr>
        <w:spacing w:before="0" w:beforeAutospacing="0" w:after="0" w:afterAutospacing="0"/>
        <w:textAlignment w:val="baseline"/>
        <w:rPr>
          <w:rFonts w:ascii="Arial" w:hAnsi="Arial" w:cs="Arial"/>
          <w:color w:val="000000"/>
          <w:sz w:val="22"/>
          <w:szCs w:val="22"/>
        </w:rPr>
      </w:pPr>
      <w:r w:rsidRPr="006C28E9">
        <w:rPr>
          <w:rFonts w:ascii="Arial" w:hAnsi="Arial" w:cs="Arial"/>
          <w:color w:val="000000"/>
          <w:sz w:val="22"/>
          <w:szCs w:val="22"/>
        </w:rPr>
        <w:t xml:space="preserve">4 monthly injections of </w:t>
      </w:r>
      <w:proofErr w:type="spellStart"/>
      <w:r w:rsidRPr="006C28E9">
        <w:rPr>
          <w:rFonts w:ascii="Arial" w:hAnsi="Arial" w:cs="Arial"/>
          <w:color w:val="000000"/>
          <w:sz w:val="22"/>
          <w:szCs w:val="22"/>
        </w:rPr>
        <w:t>ra</w:t>
      </w:r>
      <w:r>
        <w:rPr>
          <w:rFonts w:ascii="Arial" w:hAnsi="Arial" w:cs="Arial"/>
          <w:color w:val="000000"/>
          <w:sz w:val="22"/>
          <w:szCs w:val="22"/>
        </w:rPr>
        <w:t>nibizumab</w:t>
      </w:r>
      <w:proofErr w:type="spellEnd"/>
      <w:r>
        <w:rPr>
          <w:rFonts w:ascii="Arial" w:hAnsi="Arial" w:cs="Arial"/>
          <w:color w:val="000000"/>
          <w:sz w:val="22"/>
          <w:szCs w:val="22"/>
        </w:rPr>
        <w:t xml:space="preserve"> 0.3 mg followed by a treat and extend (T/E)</w:t>
      </w:r>
      <w:r w:rsidRPr="006C28E9">
        <w:rPr>
          <w:rFonts w:ascii="Arial" w:hAnsi="Arial" w:cs="Arial"/>
          <w:color w:val="000000"/>
          <w:sz w:val="22"/>
          <w:szCs w:val="22"/>
        </w:rPr>
        <w:t xml:space="preserve"> a</w:t>
      </w:r>
      <w:r w:rsidR="00F41E1E">
        <w:rPr>
          <w:rFonts w:ascii="Arial" w:hAnsi="Arial" w:cs="Arial"/>
          <w:color w:val="000000"/>
          <w:sz w:val="22"/>
          <w:szCs w:val="22"/>
        </w:rPr>
        <w:t>lgorithm</w:t>
      </w:r>
    </w:p>
    <w:p w14:paraId="6B9F77B3" w14:textId="4881009B" w:rsidR="006C28E9" w:rsidRDefault="0023637D" w:rsidP="00415ABE">
      <w:pPr>
        <w:pStyle w:val="NormalWeb"/>
        <w:numPr>
          <w:ilvl w:val="2"/>
          <w:numId w:val="2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Eyes with CRT &gt; 325 µ</w:t>
      </w:r>
      <w:proofErr w:type="spellStart"/>
      <w:r w:rsidR="006C28E9" w:rsidRPr="006C28E9">
        <w:rPr>
          <w:rFonts w:ascii="Arial" w:hAnsi="Arial" w:cs="Arial"/>
          <w:color w:val="000000"/>
          <w:sz w:val="22"/>
          <w:szCs w:val="22"/>
        </w:rPr>
        <w:t>m at</w:t>
      </w:r>
      <w:proofErr w:type="spellEnd"/>
      <w:r w:rsidR="006C28E9" w:rsidRPr="006C28E9">
        <w:rPr>
          <w:rFonts w:ascii="Arial" w:hAnsi="Arial" w:cs="Arial"/>
          <w:color w:val="000000"/>
          <w:sz w:val="22"/>
          <w:szCs w:val="22"/>
        </w:rPr>
        <w:t xml:space="preserve"> week 12 continued monthly treatme</w:t>
      </w:r>
      <w:r>
        <w:rPr>
          <w:rFonts w:ascii="Arial" w:hAnsi="Arial" w:cs="Arial"/>
          <w:color w:val="000000"/>
          <w:sz w:val="22"/>
          <w:szCs w:val="22"/>
        </w:rPr>
        <w:t>nts until CRT ≤ 325 µm</w:t>
      </w:r>
    </w:p>
    <w:p w14:paraId="75197726" w14:textId="77777777" w:rsidR="006C28E9" w:rsidRDefault="006C28E9" w:rsidP="00415ABE">
      <w:pPr>
        <w:pStyle w:val="NormalWeb"/>
        <w:numPr>
          <w:ilvl w:val="1"/>
          <w:numId w:val="29"/>
        </w:numPr>
        <w:spacing w:before="0" w:beforeAutospacing="0" w:after="0" w:afterAutospacing="0"/>
        <w:textAlignment w:val="baseline"/>
        <w:rPr>
          <w:rFonts w:ascii="Arial" w:hAnsi="Arial" w:cs="Arial"/>
          <w:color w:val="000000"/>
          <w:sz w:val="22"/>
          <w:szCs w:val="22"/>
        </w:rPr>
      </w:pPr>
      <w:r w:rsidRPr="006C28E9">
        <w:rPr>
          <w:rFonts w:ascii="Arial" w:hAnsi="Arial" w:cs="Arial"/>
          <w:color w:val="000000"/>
          <w:sz w:val="22"/>
          <w:szCs w:val="22"/>
        </w:rPr>
        <w:t>GILA (n = 60)</w:t>
      </w:r>
    </w:p>
    <w:p w14:paraId="401B9157" w14:textId="31817824" w:rsidR="006C28E9" w:rsidRDefault="006C28E9" w:rsidP="00415ABE">
      <w:pPr>
        <w:pStyle w:val="NormalWeb"/>
        <w:numPr>
          <w:ilvl w:val="2"/>
          <w:numId w:val="29"/>
        </w:numPr>
        <w:spacing w:before="0" w:beforeAutospacing="0" w:after="0" w:afterAutospacing="0"/>
        <w:textAlignment w:val="baseline"/>
        <w:rPr>
          <w:rFonts w:ascii="Arial" w:hAnsi="Arial" w:cs="Arial"/>
          <w:color w:val="000000"/>
          <w:sz w:val="22"/>
          <w:szCs w:val="22"/>
        </w:rPr>
      </w:pPr>
      <w:r w:rsidRPr="006C28E9">
        <w:rPr>
          <w:rFonts w:ascii="Arial" w:hAnsi="Arial" w:cs="Arial"/>
          <w:color w:val="000000"/>
          <w:sz w:val="22"/>
          <w:szCs w:val="22"/>
        </w:rPr>
        <w:t>GILA = treat and extend with angiography-</w:t>
      </w:r>
      <w:r w:rsidR="0023637D">
        <w:rPr>
          <w:rFonts w:ascii="Arial" w:hAnsi="Arial" w:cs="Arial"/>
          <w:color w:val="000000"/>
          <w:sz w:val="22"/>
          <w:szCs w:val="22"/>
        </w:rPr>
        <w:t>guided</w:t>
      </w:r>
      <w:r w:rsidRPr="006C28E9">
        <w:rPr>
          <w:rFonts w:ascii="Arial" w:hAnsi="Arial" w:cs="Arial"/>
          <w:color w:val="000000"/>
          <w:sz w:val="22"/>
          <w:szCs w:val="22"/>
        </w:rPr>
        <w:t xml:space="preserve"> macular </w:t>
      </w:r>
      <w:r w:rsidR="0023637D">
        <w:rPr>
          <w:rFonts w:ascii="Arial" w:hAnsi="Arial" w:cs="Arial"/>
          <w:color w:val="000000"/>
          <w:sz w:val="22"/>
          <w:szCs w:val="22"/>
        </w:rPr>
        <w:t>laser</w:t>
      </w:r>
      <w:r w:rsidRPr="006C28E9">
        <w:rPr>
          <w:rFonts w:ascii="Arial" w:hAnsi="Arial" w:cs="Arial"/>
          <w:color w:val="000000"/>
          <w:sz w:val="22"/>
          <w:szCs w:val="22"/>
        </w:rPr>
        <w:t xml:space="preserve"> photocoagulation</w:t>
      </w:r>
    </w:p>
    <w:p w14:paraId="25B3757D" w14:textId="4BE87234" w:rsidR="006C28E9" w:rsidRDefault="006C28E9" w:rsidP="00415ABE">
      <w:pPr>
        <w:pStyle w:val="NormalWeb"/>
        <w:numPr>
          <w:ilvl w:val="2"/>
          <w:numId w:val="29"/>
        </w:numPr>
        <w:spacing w:before="0" w:beforeAutospacing="0" w:after="0" w:afterAutospacing="0"/>
        <w:textAlignment w:val="baseline"/>
        <w:rPr>
          <w:rFonts w:ascii="Arial" w:hAnsi="Arial" w:cs="Arial"/>
          <w:color w:val="000000"/>
          <w:sz w:val="22"/>
          <w:szCs w:val="22"/>
        </w:rPr>
      </w:pPr>
      <w:r w:rsidRPr="006C28E9">
        <w:rPr>
          <w:rFonts w:ascii="Arial" w:hAnsi="Arial" w:cs="Arial"/>
          <w:color w:val="000000"/>
          <w:sz w:val="22"/>
          <w:szCs w:val="22"/>
        </w:rPr>
        <w:t xml:space="preserve">4 monthly injections of </w:t>
      </w:r>
      <w:proofErr w:type="spellStart"/>
      <w:r w:rsidRPr="006C28E9">
        <w:rPr>
          <w:rFonts w:ascii="Arial" w:hAnsi="Arial" w:cs="Arial"/>
          <w:color w:val="000000"/>
          <w:sz w:val="22"/>
          <w:szCs w:val="22"/>
        </w:rPr>
        <w:t>ranibizumab</w:t>
      </w:r>
      <w:proofErr w:type="spellEnd"/>
      <w:r w:rsidRPr="006C28E9">
        <w:rPr>
          <w:rFonts w:ascii="Arial" w:hAnsi="Arial" w:cs="Arial"/>
          <w:color w:val="000000"/>
          <w:sz w:val="22"/>
          <w:szCs w:val="22"/>
        </w:rPr>
        <w:t xml:space="preserve"> 0.3 mg followed by T/E algo</w:t>
      </w:r>
      <w:r w:rsidR="00F41E1E">
        <w:rPr>
          <w:rFonts w:ascii="Arial" w:hAnsi="Arial" w:cs="Arial"/>
          <w:color w:val="000000"/>
          <w:sz w:val="22"/>
          <w:szCs w:val="22"/>
        </w:rPr>
        <w:t>rithm</w:t>
      </w:r>
    </w:p>
    <w:p w14:paraId="00EA8858" w14:textId="20CD1DBA" w:rsidR="001F7420" w:rsidRPr="001F7420" w:rsidRDefault="001F7420" w:rsidP="001F7420">
      <w:pPr>
        <w:pStyle w:val="NormalWeb"/>
        <w:numPr>
          <w:ilvl w:val="2"/>
          <w:numId w:val="2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Eyes with CRT &gt; 325 µ</w:t>
      </w:r>
      <w:proofErr w:type="spellStart"/>
      <w:r w:rsidRPr="006C28E9">
        <w:rPr>
          <w:rFonts w:ascii="Arial" w:hAnsi="Arial" w:cs="Arial"/>
          <w:color w:val="000000"/>
          <w:sz w:val="22"/>
          <w:szCs w:val="22"/>
        </w:rPr>
        <w:t>m at</w:t>
      </w:r>
      <w:proofErr w:type="spellEnd"/>
      <w:r w:rsidRPr="006C28E9">
        <w:rPr>
          <w:rFonts w:ascii="Arial" w:hAnsi="Arial" w:cs="Arial"/>
          <w:color w:val="000000"/>
          <w:sz w:val="22"/>
          <w:szCs w:val="22"/>
        </w:rPr>
        <w:t xml:space="preserve"> week 12 continued monthly treatme</w:t>
      </w:r>
      <w:r>
        <w:rPr>
          <w:rFonts w:ascii="Arial" w:hAnsi="Arial" w:cs="Arial"/>
          <w:color w:val="000000"/>
          <w:sz w:val="22"/>
          <w:szCs w:val="22"/>
        </w:rPr>
        <w:t>nts until CRT ≤ 325 µm</w:t>
      </w:r>
    </w:p>
    <w:p w14:paraId="39D9F89C" w14:textId="7FE80F9E" w:rsidR="006C28E9" w:rsidRDefault="006C28E9" w:rsidP="00415ABE">
      <w:pPr>
        <w:pStyle w:val="NormalWeb"/>
        <w:numPr>
          <w:ilvl w:val="2"/>
          <w:numId w:val="29"/>
        </w:numPr>
        <w:spacing w:before="0" w:beforeAutospacing="0" w:after="0" w:afterAutospacing="0"/>
        <w:textAlignment w:val="baseline"/>
        <w:rPr>
          <w:rFonts w:ascii="Arial" w:hAnsi="Arial" w:cs="Arial"/>
          <w:color w:val="000000"/>
          <w:sz w:val="22"/>
          <w:szCs w:val="22"/>
        </w:rPr>
      </w:pPr>
      <w:r w:rsidRPr="006C28E9">
        <w:rPr>
          <w:rFonts w:ascii="Arial" w:hAnsi="Arial" w:cs="Arial"/>
          <w:color w:val="000000"/>
          <w:sz w:val="22"/>
          <w:szCs w:val="22"/>
        </w:rPr>
        <w:t xml:space="preserve">Received </w:t>
      </w:r>
      <w:r w:rsidR="001F7420">
        <w:rPr>
          <w:rFonts w:ascii="Arial" w:hAnsi="Arial" w:cs="Arial"/>
          <w:color w:val="000000"/>
          <w:sz w:val="22"/>
          <w:szCs w:val="22"/>
        </w:rPr>
        <w:t>laser</w:t>
      </w:r>
      <w:r w:rsidRPr="006C28E9">
        <w:rPr>
          <w:rFonts w:ascii="Arial" w:hAnsi="Arial" w:cs="Arial"/>
          <w:color w:val="000000"/>
          <w:sz w:val="22"/>
          <w:szCs w:val="22"/>
        </w:rPr>
        <w:t xml:space="preserve"> at month 1 and again every 3 months for </w:t>
      </w:r>
      <w:proofErr w:type="spellStart"/>
      <w:r w:rsidRPr="006C28E9">
        <w:rPr>
          <w:rFonts w:ascii="Arial" w:hAnsi="Arial" w:cs="Arial"/>
          <w:color w:val="000000"/>
          <w:sz w:val="22"/>
          <w:szCs w:val="22"/>
        </w:rPr>
        <w:t>microaneurysm</w:t>
      </w:r>
      <w:proofErr w:type="spellEnd"/>
      <w:r w:rsidRPr="006C28E9">
        <w:rPr>
          <w:rFonts w:ascii="Arial" w:hAnsi="Arial" w:cs="Arial"/>
          <w:color w:val="000000"/>
          <w:sz w:val="22"/>
          <w:szCs w:val="22"/>
        </w:rPr>
        <w:t xml:space="preserve"> leakage (present on FA)</w:t>
      </w:r>
    </w:p>
    <w:p w14:paraId="799B2989" w14:textId="77777777" w:rsidR="006C28E9" w:rsidRDefault="006C28E9" w:rsidP="00415ABE">
      <w:pPr>
        <w:pStyle w:val="NormalWeb"/>
        <w:numPr>
          <w:ilvl w:val="0"/>
          <w:numId w:val="3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If both eyes of a subject were enrolled, the eyes were randomized to different treatment groups</w:t>
      </w:r>
    </w:p>
    <w:p w14:paraId="30D914B9" w14:textId="089B12D6" w:rsidR="006C28E9" w:rsidRDefault="001F7420" w:rsidP="00415ABE">
      <w:pPr>
        <w:pStyle w:val="NormalWeb"/>
        <w:numPr>
          <w:ilvl w:val="0"/>
          <w:numId w:val="3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 xml:space="preserve">At visits, patients underwent: </w:t>
      </w:r>
    </w:p>
    <w:p w14:paraId="12FCBE2C" w14:textId="402E62D9" w:rsidR="006C28E9" w:rsidRDefault="006C28E9" w:rsidP="00415ABE">
      <w:pPr>
        <w:pStyle w:val="NormalWeb"/>
        <w:numPr>
          <w:ilvl w:val="1"/>
          <w:numId w:val="3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ETDRS BCVA testing</w:t>
      </w:r>
    </w:p>
    <w:p w14:paraId="051863F9" w14:textId="77777777" w:rsidR="006C28E9" w:rsidRDefault="006C28E9" w:rsidP="00415ABE">
      <w:pPr>
        <w:pStyle w:val="NormalWeb"/>
        <w:numPr>
          <w:ilvl w:val="1"/>
          <w:numId w:val="3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Slit-lamp and dilated ophthalmic examination</w:t>
      </w:r>
    </w:p>
    <w:p w14:paraId="450ACB84" w14:textId="5D8CD8EF" w:rsidR="006C28E9" w:rsidRPr="00305356" w:rsidRDefault="001F7420" w:rsidP="00415ABE">
      <w:pPr>
        <w:pStyle w:val="NormalWeb"/>
        <w:numPr>
          <w:ilvl w:val="1"/>
          <w:numId w:val="3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SD-</w:t>
      </w:r>
      <w:r w:rsidR="006C28E9">
        <w:rPr>
          <w:rFonts w:ascii="Arial" w:hAnsi="Arial" w:cs="Arial"/>
          <w:color w:val="000000"/>
          <w:sz w:val="22"/>
          <w:szCs w:val="22"/>
        </w:rPr>
        <w:t>OCT</w:t>
      </w:r>
      <w:r>
        <w:rPr>
          <w:rFonts w:ascii="Arial" w:hAnsi="Arial" w:cs="Arial"/>
          <w:color w:val="000000"/>
          <w:sz w:val="22"/>
          <w:szCs w:val="22"/>
        </w:rPr>
        <w:t xml:space="preserve"> imaging</w:t>
      </w:r>
    </w:p>
    <w:p w14:paraId="3C656EE0" w14:textId="57278236" w:rsidR="00F41E1E" w:rsidRPr="00F41E1E" w:rsidRDefault="006C28E9" w:rsidP="00F41E1E">
      <w:pPr>
        <w:pStyle w:val="NormalWeb"/>
        <w:numPr>
          <w:ilvl w:val="0"/>
          <w:numId w:val="37"/>
        </w:numPr>
        <w:spacing w:before="0" w:beforeAutospacing="0" w:after="0" w:afterAutospacing="0"/>
      </w:pPr>
      <w:r>
        <w:rPr>
          <w:rFonts w:ascii="Arial" w:hAnsi="Arial" w:cs="Arial"/>
          <w:color w:val="000000"/>
          <w:sz w:val="22"/>
          <w:szCs w:val="22"/>
        </w:rPr>
        <w:t xml:space="preserve">T/E algorithm </w:t>
      </w:r>
    </w:p>
    <w:p w14:paraId="0F22E659" w14:textId="4211D7C8" w:rsidR="0058797A" w:rsidRPr="0058797A" w:rsidRDefault="0058797A" w:rsidP="00F41E1E">
      <w:pPr>
        <w:pStyle w:val="NormalWeb"/>
        <w:numPr>
          <w:ilvl w:val="1"/>
          <w:numId w:val="37"/>
        </w:numPr>
        <w:spacing w:before="0" w:beforeAutospacing="0" w:after="0" w:afterAutospacing="0"/>
      </w:pPr>
      <w:r>
        <w:rPr>
          <w:rFonts w:ascii="Arial" w:hAnsi="Arial" w:cs="Arial"/>
          <w:sz w:val="22"/>
          <w:szCs w:val="22"/>
        </w:rPr>
        <w:t>Baseline CRT recorded</w:t>
      </w:r>
    </w:p>
    <w:p w14:paraId="1E0E1242" w14:textId="4EBEF752" w:rsidR="00F41E1E" w:rsidRPr="00F41E1E" w:rsidRDefault="006C28E9" w:rsidP="00F41E1E">
      <w:pPr>
        <w:pStyle w:val="NormalWeb"/>
        <w:numPr>
          <w:ilvl w:val="1"/>
          <w:numId w:val="37"/>
        </w:numPr>
        <w:spacing w:before="0" w:beforeAutospacing="0" w:after="0" w:afterAutospacing="0"/>
      </w:pPr>
      <w:r w:rsidRPr="006C28E9">
        <w:rPr>
          <w:rFonts w:ascii="Arial" w:hAnsi="Arial" w:cs="Arial"/>
          <w:color w:val="000000"/>
          <w:sz w:val="22"/>
          <w:szCs w:val="22"/>
        </w:rPr>
        <w:t xml:space="preserve">Treatment interval was extended </w:t>
      </w:r>
      <w:r w:rsidR="00F41E1E">
        <w:rPr>
          <w:rFonts w:ascii="Arial" w:hAnsi="Arial" w:cs="Arial"/>
          <w:color w:val="000000"/>
          <w:sz w:val="22"/>
          <w:szCs w:val="22"/>
        </w:rPr>
        <w:t xml:space="preserve">or decreased </w:t>
      </w:r>
      <w:r w:rsidRPr="006C28E9">
        <w:rPr>
          <w:rFonts w:ascii="Arial" w:hAnsi="Arial" w:cs="Arial"/>
          <w:color w:val="000000"/>
          <w:sz w:val="22"/>
          <w:szCs w:val="22"/>
        </w:rPr>
        <w:t>by 2 weeks</w:t>
      </w:r>
      <w:r w:rsidR="00F41E1E">
        <w:rPr>
          <w:rFonts w:ascii="Arial" w:hAnsi="Arial" w:cs="Arial"/>
          <w:color w:val="000000"/>
          <w:sz w:val="22"/>
          <w:szCs w:val="22"/>
        </w:rPr>
        <w:t xml:space="preserve"> or maintained </w:t>
      </w:r>
      <w:r w:rsidRPr="006C28E9">
        <w:rPr>
          <w:rFonts w:ascii="Arial" w:hAnsi="Arial" w:cs="Arial"/>
          <w:color w:val="000000"/>
          <w:sz w:val="22"/>
          <w:szCs w:val="22"/>
        </w:rPr>
        <w:t xml:space="preserve">according to </w:t>
      </w:r>
      <w:r w:rsidR="00F41E1E">
        <w:rPr>
          <w:rFonts w:ascii="Arial" w:hAnsi="Arial" w:cs="Arial"/>
          <w:color w:val="000000"/>
          <w:sz w:val="22"/>
          <w:szCs w:val="22"/>
        </w:rPr>
        <w:t>CRT compared to baseline</w:t>
      </w:r>
    </w:p>
    <w:p w14:paraId="7B5919C9" w14:textId="2D10E3DB" w:rsidR="00F41E1E" w:rsidRPr="00ED4E98" w:rsidRDefault="00F41E1E" w:rsidP="00F41E1E">
      <w:pPr>
        <w:pStyle w:val="NormalWeb"/>
        <w:numPr>
          <w:ilvl w:val="2"/>
          <w:numId w:val="37"/>
        </w:numPr>
        <w:spacing w:before="0" w:beforeAutospacing="0" w:after="0" w:afterAutospacing="0"/>
      </w:pPr>
      <w:r>
        <w:rPr>
          <w:rFonts w:ascii="Arial" w:hAnsi="Arial" w:cs="Arial"/>
          <w:color w:val="000000"/>
          <w:sz w:val="22"/>
          <w:szCs w:val="22"/>
        </w:rPr>
        <w:t xml:space="preserve">Change in CRT </w:t>
      </w:r>
      <w:r w:rsidR="00ED4E98">
        <w:rPr>
          <w:rFonts w:ascii="Arial" w:hAnsi="Arial" w:cs="Arial"/>
          <w:color w:val="000000"/>
          <w:sz w:val="22"/>
          <w:szCs w:val="22"/>
        </w:rPr>
        <w:t>within ±10% of baseline CRT – extend by 2 weeks</w:t>
      </w:r>
    </w:p>
    <w:p w14:paraId="7C0212CF" w14:textId="52ADE4ED" w:rsidR="00ED4E98" w:rsidRPr="00ED4E98" w:rsidRDefault="00ED4E98" w:rsidP="00ED4E98">
      <w:pPr>
        <w:pStyle w:val="NormalWeb"/>
        <w:numPr>
          <w:ilvl w:val="2"/>
          <w:numId w:val="37"/>
        </w:numPr>
        <w:spacing w:before="0" w:beforeAutospacing="0" w:after="0" w:afterAutospacing="0"/>
      </w:pPr>
      <w:r>
        <w:rPr>
          <w:rFonts w:ascii="Arial" w:hAnsi="Arial" w:cs="Arial"/>
          <w:color w:val="000000"/>
          <w:sz w:val="22"/>
          <w:szCs w:val="22"/>
        </w:rPr>
        <w:t>Change in CRT within ±20% of baseline CRT – maintain interval</w:t>
      </w:r>
    </w:p>
    <w:p w14:paraId="743439E0" w14:textId="199A09F1" w:rsidR="00ED4E98" w:rsidRPr="00ED4E98" w:rsidRDefault="00ED4E98" w:rsidP="00ED4E98">
      <w:pPr>
        <w:pStyle w:val="NormalWeb"/>
        <w:numPr>
          <w:ilvl w:val="2"/>
          <w:numId w:val="37"/>
        </w:numPr>
        <w:spacing w:before="0" w:beforeAutospacing="0" w:after="0" w:afterAutospacing="0"/>
      </w:pPr>
      <w:r>
        <w:rPr>
          <w:rFonts w:ascii="Arial" w:hAnsi="Arial" w:cs="Arial"/>
          <w:color w:val="000000"/>
          <w:sz w:val="22"/>
          <w:szCs w:val="22"/>
        </w:rPr>
        <w:t>Change in CRT &gt;20% of baseline CRT – decrease interval by 2 weeks</w:t>
      </w:r>
    </w:p>
    <w:p w14:paraId="356A5E7C" w14:textId="25F259B1" w:rsidR="00ED4E98" w:rsidRPr="00F41E1E" w:rsidRDefault="00ED4E98" w:rsidP="00ED4E98">
      <w:pPr>
        <w:pStyle w:val="NormalWeb"/>
        <w:numPr>
          <w:ilvl w:val="2"/>
          <w:numId w:val="37"/>
        </w:numPr>
        <w:spacing w:before="0" w:beforeAutospacing="0" w:after="0" w:afterAutospacing="0"/>
      </w:pPr>
      <w:r>
        <w:rPr>
          <w:rFonts w:ascii="Arial" w:hAnsi="Arial" w:cs="Arial"/>
          <w:color w:val="000000"/>
          <w:sz w:val="22"/>
          <w:szCs w:val="22"/>
        </w:rPr>
        <w:t>Change in CRT &lt;20% of baseline CRT – new baseline if maintained for 3 consecutive visits with ≤ 50 µm variability</w:t>
      </w:r>
    </w:p>
    <w:p w14:paraId="10779E15" w14:textId="3373082E" w:rsidR="00415ABE" w:rsidRPr="00415ABE" w:rsidRDefault="00415ABE" w:rsidP="00415ABE">
      <w:pPr>
        <w:pStyle w:val="NormalWeb"/>
        <w:numPr>
          <w:ilvl w:val="0"/>
          <w:numId w:val="37"/>
        </w:numPr>
        <w:spacing w:before="0" w:beforeAutospacing="0" w:after="0" w:afterAutospacing="0"/>
      </w:pPr>
      <w:r>
        <w:rPr>
          <w:rFonts w:ascii="Arial" w:hAnsi="Arial" w:cs="Arial"/>
          <w:color w:val="000000"/>
          <w:sz w:val="22"/>
          <w:szCs w:val="22"/>
        </w:rPr>
        <w:t>Primary outcome measure</w:t>
      </w:r>
    </w:p>
    <w:p w14:paraId="5F0D8FFF" w14:textId="3B0669AB" w:rsidR="00415ABE" w:rsidRPr="00415ABE" w:rsidRDefault="00415ABE" w:rsidP="00415ABE">
      <w:pPr>
        <w:pStyle w:val="NormalWeb"/>
        <w:numPr>
          <w:ilvl w:val="1"/>
          <w:numId w:val="37"/>
        </w:numPr>
        <w:spacing w:before="0" w:beforeAutospacing="0" w:after="0" w:afterAutospacing="0"/>
      </w:pPr>
      <w:r>
        <w:rPr>
          <w:rFonts w:ascii="Arial" w:hAnsi="Arial" w:cs="Arial"/>
          <w:color w:val="000000"/>
          <w:sz w:val="22"/>
          <w:szCs w:val="22"/>
        </w:rPr>
        <w:t>Change in mean ETDRS BCVA from baseline</w:t>
      </w:r>
    </w:p>
    <w:p w14:paraId="00109539" w14:textId="4C47DDB5" w:rsidR="00415ABE" w:rsidRPr="00415ABE" w:rsidRDefault="00415ABE" w:rsidP="00415ABE">
      <w:pPr>
        <w:pStyle w:val="NormalWeb"/>
        <w:numPr>
          <w:ilvl w:val="0"/>
          <w:numId w:val="37"/>
        </w:numPr>
        <w:spacing w:before="0" w:beforeAutospacing="0" w:after="0" w:afterAutospacing="0"/>
      </w:pPr>
      <w:r>
        <w:rPr>
          <w:rFonts w:ascii="Arial" w:hAnsi="Arial" w:cs="Arial"/>
          <w:color w:val="000000"/>
          <w:sz w:val="22"/>
          <w:szCs w:val="22"/>
        </w:rPr>
        <w:t>Secondary outcome measures</w:t>
      </w:r>
    </w:p>
    <w:p w14:paraId="7C11553F" w14:textId="6DF687BD" w:rsidR="00415ABE" w:rsidRPr="00415ABE" w:rsidRDefault="00415ABE" w:rsidP="00415ABE">
      <w:pPr>
        <w:pStyle w:val="NormalWeb"/>
        <w:numPr>
          <w:ilvl w:val="1"/>
          <w:numId w:val="37"/>
        </w:numPr>
        <w:spacing w:before="0" w:beforeAutospacing="0" w:after="0" w:afterAutospacing="0"/>
      </w:pPr>
      <w:r>
        <w:rPr>
          <w:rFonts w:ascii="Arial" w:hAnsi="Arial" w:cs="Arial"/>
          <w:color w:val="000000"/>
          <w:sz w:val="22"/>
          <w:szCs w:val="22"/>
        </w:rPr>
        <w:t>Mean change in CRT</w:t>
      </w:r>
    </w:p>
    <w:p w14:paraId="25C24404" w14:textId="711AD0BE" w:rsidR="00415ABE" w:rsidRPr="00415ABE" w:rsidRDefault="00415ABE" w:rsidP="00415ABE">
      <w:pPr>
        <w:pStyle w:val="NormalWeb"/>
        <w:numPr>
          <w:ilvl w:val="1"/>
          <w:numId w:val="37"/>
        </w:numPr>
        <w:spacing w:before="0" w:beforeAutospacing="0" w:after="0" w:afterAutospacing="0"/>
      </w:pPr>
      <w:r>
        <w:rPr>
          <w:rFonts w:ascii="Arial" w:hAnsi="Arial" w:cs="Arial"/>
          <w:color w:val="000000"/>
          <w:sz w:val="22"/>
          <w:szCs w:val="22"/>
        </w:rPr>
        <w:t>Total number of IVT injections</w:t>
      </w:r>
    </w:p>
    <w:p w14:paraId="2CC6F705" w14:textId="3CB9DF4C" w:rsidR="00415ABE" w:rsidRPr="00415ABE" w:rsidRDefault="00415ABE" w:rsidP="00415ABE">
      <w:pPr>
        <w:pStyle w:val="NormalWeb"/>
        <w:numPr>
          <w:ilvl w:val="1"/>
          <w:numId w:val="37"/>
        </w:numPr>
        <w:spacing w:before="0" w:beforeAutospacing="0" w:after="0" w:afterAutospacing="0"/>
      </w:pPr>
      <w:r>
        <w:rPr>
          <w:rFonts w:ascii="Arial" w:hAnsi="Arial" w:cs="Arial"/>
          <w:color w:val="000000"/>
          <w:sz w:val="22"/>
          <w:szCs w:val="22"/>
        </w:rPr>
        <w:t>Percentage of patients gaining or losing 10 or 15 ETDRS letters at month 12</w:t>
      </w:r>
    </w:p>
    <w:p w14:paraId="08B64300" w14:textId="59A087D2" w:rsidR="006C28E9" w:rsidRPr="0058797A" w:rsidRDefault="00415ABE" w:rsidP="006C28E9">
      <w:pPr>
        <w:pStyle w:val="NormalWeb"/>
        <w:numPr>
          <w:ilvl w:val="1"/>
          <w:numId w:val="37"/>
        </w:numPr>
        <w:spacing w:before="0" w:beforeAutospacing="0" w:after="0" w:afterAutospacing="0"/>
      </w:pPr>
      <w:r>
        <w:rPr>
          <w:rFonts w:ascii="Arial" w:hAnsi="Arial" w:cs="Arial"/>
          <w:color w:val="000000"/>
          <w:sz w:val="22"/>
          <w:szCs w:val="22"/>
        </w:rPr>
        <w:t>Incidence and severity of adverse events</w:t>
      </w:r>
    </w:p>
    <w:p w14:paraId="7E87734E" w14:textId="2D5F6662" w:rsidR="0058797A" w:rsidRDefault="0058797A" w:rsidP="0058797A">
      <w:pPr>
        <w:pStyle w:val="NormalWeb"/>
        <w:spacing w:before="0" w:beforeAutospacing="0" w:after="0" w:afterAutospacing="0"/>
        <w:rPr>
          <w:rFonts w:ascii="Arial" w:hAnsi="Arial" w:cs="Arial"/>
          <w:color w:val="000000"/>
          <w:sz w:val="22"/>
          <w:szCs w:val="22"/>
        </w:rPr>
      </w:pPr>
    </w:p>
    <w:p w14:paraId="5334FDF6" w14:textId="08BA084F" w:rsidR="006C28E9" w:rsidRDefault="006C28E9" w:rsidP="006C28E9">
      <w:pPr>
        <w:pStyle w:val="Heading3"/>
      </w:pPr>
      <w:r>
        <w:t>Inclusion criteria</w:t>
      </w:r>
    </w:p>
    <w:p w14:paraId="32FFB197" w14:textId="77777777" w:rsidR="006C28E9" w:rsidRDefault="006C28E9" w:rsidP="00415ABE">
      <w:pPr>
        <w:pStyle w:val="NormalWeb"/>
        <w:numPr>
          <w:ilvl w:val="0"/>
          <w:numId w:val="3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Subjects with DM and center-involving DME</w:t>
      </w:r>
    </w:p>
    <w:p w14:paraId="1A2B6E20" w14:textId="712307DF" w:rsidR="006C28E9" w:rsidRPr="00ED4E98" w:rsidRDefault="006C28E9" w:rsidP="006C28E9">
      <w:pPr>
        <w:pStyle w:val="NormalWeb"/>
        <w:numPr>
          <w:ilvl w:val="0"/>
          <w:numId w:val="3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BCVA 79-24 letters (20/25 -20/320 Snellen equivalent)</w:t>
      </w:r>
    </w:p>
    <w:p w14:paraId="0F2C73AE" w14:textId="31E216CD" w:rsidR="006C28E9" w:rsidRDefault="006C28E9" w:rsidP="006C28E9">
      <w:pPr>
        <w:pStyle w:val="Heading3"/>
      </w:pPr>
      <w:r>
        <w:t>Exclusion criteria</w:t>
      </w:r>
    </w:p>
    <w:p w14:paraId="375E9A93" w14:textId="0EE09BFE" w:rsidR="006C28E9" w:rsidRDefault="006C28E9" w:rsidP="00415ABE">
      <w:pPr>
        <w:pStyle w:val="NormalWeb"/>
        <w:numPr>
          <w:ilvl w:val="0"/>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Prior IVT injections of anti-VEGF medication</w:t>
      </w:r>
      <w:r w:rsidR="00ED4E98">
        <w:rPr>
          <w:rFonts w:ascii="Arial" w:hAnsi="Arial" w:cs="Arial"/>
          <w:color w:val="000000"/>
          <w:sz w:val="22"/>
          <w:szCs w:val="22"/>
        </w:rPr>
        <w:t xml:space="preserve">s or corticosteroids within </w:t>
      </w:r>
      <w:r>
        <w:rPr>
          <w:rFonts w:ascii="Arial" w:hAnsi="Arial" w:cs="Arial"/>
          <w:color w:val="000000"/>
          <w:sz w:val="22"/>
          <w:szCs w:val="22"/>
        </w:rPr>
        <w:t>12 weeks</w:t>
      </w:r>
    </w:p>
    <w:p w14:paraId="5B4BE141" w14:textId="07F81B81" w:rsidR="006C28E9" w:rsidRPr="00ED4E98" w:rsidRDefault="006C28E9" w:rsidP="00ED4E98">
      <w:pPr>
        <w:pStyle w:val="NormalWeb"/>
        <w:numPr>
          <w:ilvl w:val="0"/>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Prior focal</w:t>
      </w:r>
      <w:r w:rsidR="00ED4E98">
        <w:rPr>
          <w:rFonts w:ascii="Arial" w:hAnsi="Arial" w:cs="Arial"/>
          <w:color w:val="000000"/>
          <w:sz w:val="22"/>
          <w:szCs w:val="22"/>
        </w:rPr>
        <w:t xml:space="preserve"> macular laser photocoagulation</w:t>
      </w:r>
    </w:p>
    <w:p w14:paraId="73D27718" w14:textId="644ECD9A" w:rsidR="006C28E9" w:rsidRDefault="00ED4E98" w:rsidP="00ED4E98">
      <w:pPr>
        <w:pStyle w:val="Heading3"/>
      </w:pPr>
      <w:r>
        <w:t xml:space="preserve">Year 1 </w:t>
      </w:r>
      <w:r w:rsidR="006C28E9">
        <w:t>Results</w:t>
      </w:r>
    </w:p>
    <w:p w14:paraId="6CF046C1" w14:textId="783ED229" w:rsidR="00305356" w:rsidRPr="00305356" w:rsidRDefault="00305356" w:rsidP="00415ABE">
      <w:pPr>
        <w:pStyle w:val="NormalWeb"/>
        <w:numPr>
          <w:ilvl w:val="0"/>
          <w:numId w:val="33"/>
        </w:numPr>
        <w:spacing w:before="0" w:beforeAutospacing="0" w:after="0" w:afterAutospacing="0"/>
      </w:pPr>
      <w:r>
        <w:rPr>
          <w:rFonts w:ascii="Arial" w:hAnsi="Arial" w:cs="Arial"/>
          <w:color w:val="000000"/>
          <w:sz w:val="22"/>
          <w:szCs w:val="22"/>
        </w:rPr>
        <w:t>1</w:t>
      </w:r>
      <w:r w:rsidR="00ED4E98">
        <w:rPr>
          <w:rFonts w:ascii="Arial" w:hAnsi="Arial" w:cs="Arial"/>
          <w:color w:val="000000"/>
          <w:sz w:val="22"/>
          <w:szCs w:val="22"/>
        </w:rPr>
        <w:t>37 eyes (91%) completed the 1-year</w:t>
      </w:r>
      <w:r>
        <w:rPr>
          <w:rFonts w:ascii="Arial" w:hAnsi="Arial" w:cs="Arial"/>
          <w:color w:val="000000"/>
          <w:sz w:val="22"/>
          <w:szCs w:val="22"/>
        </w:rPr>
        <w:t xml:space="preserve"> visit</w:t>
      </w:r>
    </w:p>
    <w:p w14:paraId="6C2FCE00" w14:textId="56754BF8" w:rsidR="006C28E9" w:rsidRDefault="006C28E9" w:rsidP="00415ABE">
      <w:pPr>
        <w:pStyle w:val="NormalWeb"/>
        <w:numPr>
          <w:ilvl w:val="0"/>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No significant differences between the cohorts in the percentage gaining/losing 2 and 3 lines of vision</w:t>
      </w:r>
    </w:p>
    <w:p w14:paraId="00FEC0A1" w14:textId="77777777" w:rsidR="006C28E9" w:rsidRDefault="006C28E9" w:rsidP="00415ABE">
      <w:pPr>
        <w:pStyle w:val="NormalWeb"/>
        <w:numPr>
          <w:ilvl w:val="0"/>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No cases of </w:t>
      </w:r>
      <w:proofErr w:type="spellStart"/>
      <w:r>
        <w:rPr>
          <w:rFonts w:ascii="Arial" w:hAnsi="Arial" w:cs="Arial"/>
          <w:color w:val="000000"/>
          <w:sz w:val="22"/>
          <w:szCs w:val="22"/>
        </w:rPr>
        <w:t>endophthalmitis</w:t>
      </w:r>
      <w:proofErr w:type="spellEnd"/>
    </w:p>
    <w:p w14:paraId="07A6DF11" w14:textId="63431E7F" w:rsidR="006C28E9" w:rsidRDefault="006C28E9" w:rsidP="00415ABE">
      <w:pPr>
        <w:pStyle w:val="NormalWeb"/>
        <w:numPr>
          <w:ilvl w:val="0"/>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No eyes in the Monthly and GILA cohorts and only </w:t>
      </w:r>
      <w:r w:rsidR="00ED4E98">
        <w:rPr>
          <w:rFonts w:ascii="Arial" w:hAnsi="Arial" w:cs="Arial"/>
          <w:color w:val="000000"/>
          <w:sz w:val="22"/>
          <w:szCs w:val="22"/>
        </w:rPr>
        <w:t xml:space="preserve">1 eye in the TREX cohort lost ≥ </w:t>
      </w:r>
      <w:r>
        <w:rPr>
          <w:rFonts w:ascii="Arial" w:hAnsi="Arial" w:cs="Arial"/>
          <w:color w:val="000000"/>
          <w:sz w:val="22"/>
          <w:szCs w:val="22"/>
        </w:rPr>
        <w:t>10 letters at 1 year</w:t>
      </w:r>
    </w:p>
    <w:p w14:paraId="25F3CB15" w14:textId="4DE3B151" w:rsidR="006C28E9" w:rsidRDefault="006C28E9" w:rsidP="00867D3A">
      <w:pPr>
        <w:pStyle w:val="NormalWeb"/>
        <w:numPr>
          <w:ilvl w:val="0"/>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175 laser treatments were performed in the GILA cohort </w:t>
      </w:r>
      <w:r w:rsidR="00ED4E98">
        <w:rPr>
          <w:rFonts w:ascii="Arial" w:hAnsi="Arial" w:cs="Arial"/>
          <w:color w:val="000000"/>
          <w:sz w:val="22"/>
          <w:szCs w:val="22"/>
        </w:rPr>
        <w:t>in the 1</w:t>
      </w:r>
      <w:r w:rsidR="00ED4E98" w:rsidRPr="00ED4E98">
        <w:rPr>
          <w:rFonts w:ascii="Arial" w:hAnsi="Arial" w:cs="Arial"/>
          <w:color w:val="000000"/>
          <w:sz w:val="22"/>
          <w:szCs w:val="22"/>
          <w:vertAlign w:val="superscript"/>
        </w:rPr>
        <w:t>st</w:t>
      </w:r>
      <w:r w:rsidR="00ED4E98">
        <w:rPr>
          <w:rFonts w:ascii="Arial" w:hAnsi="Arial" w:cs="Arial"/>
          <w:color w:val="000000"/>
          <w:sz w:val="22"/>
          <w:szCs w:val="22"/>
        </w:rPr>
        <w:t xml:space="preserve"> year</w:t>
      </w:r>
    </w:p>
    <w:p w14:paraId="3316543B" w14:textId="7AAA332C" w:rsidR="0058797A" w:rsidRDefault="0058797A" w:rsidP="0058797A">
      <w:pPr>
        <w:pStyle w:val="NormalWeb"/>
        <w:spacing w:before="0" w:beforeAutospacing="0" w:after="0" w:afterAutospacing="0"/>
        <w:textAlignment w:val="baseline"/>
        <w:rPr>
          <w:rFonts w:ascii="Arial" w:hAnsi="Arial" w:cs="Arial"/>
          <w:color w:val="000000"/>
          <w:sz w:val="22"/>
          <w:szCs w:val="22"/>
        </w:rPr>
      </w:pPr>
    </w:p>
    <w:p w14:paraId="5C537A0B" w14:textId="77777777" w:rsidR="0058797A" w:rsidRDefault="0058797A" w:rsidP="0058797A">
      <w:pPr>
        <w:pStyle w:val="Heading3"/>
      </w:pPr>
      <w:r>
        <w:t>Year 2 Results</w:t>
      </w:r>
    </w:p>
    <w:p w14:paraId="097DF01C" w14:textId="77777777" w:rsidR="0058797A" w:rsidRDefault="0058797A" w:rsidP="0058797A">
      <w:pPr>
        <w:pStyle w:val="NormalWeb"/>
        <w:numPr>
          <w:ilvl w:val="0"/>
          <w:numId w:val="36"/>
        </w:numPr>
        <w:spacing w:before="0" w:beforeAutospacing="0" w:after="0" w:afterAutospacing="0"/>
      </w:pPr>
      <w:r>
        <w:rPr>
          <w:rFonts w:ascii="Arial" w:hAnsi="Arial" w:cs="Arial"/>
          <w:color w:val="000000"/>
          <w:sz w:val="22"/>
          <w:szCs w:val="22"/>
        </w:rPr>
        <w:t>136 eyes (91%) completed the 1-year visit</w:t>
      </w:r>
    </w:p>
    <w:p w14:paraId="3F711C2B" w14:textId="77777777" w:rsidR="0058797A" w:rsidRDefault="0058797A" w:rsidP="0058797A">
      <w:pPr>
        <w:pStyle w:val="NormalWeb"/>
        <w:numPr>
          <w:ilvl w:val="0"/>
          <w:numId w:val="36"/>
        </w:numPr>
        <w:spacing w:before="0" w:beforeAutospacing="0" w:after="0" w:afterAutospacing="0"/>
      </w:pPr>
      <w:r>
        <w:rPr>
          <w:rFonts w:ascii="Arial" w:hAnsi="Arial" w:cs="Arial"/>
          <w:color w:val="000000"/>
          <w:sz w:val="22"/>
          <w:szCs w:val="22"/>
        </w:rPr>
        <w:t>119 eyes (79%) completed the 2-year visit</w:t>
      </w:r>
    </w:p>
    <w:p w14:paraId="715267B9" w14:textId="77777777" w:rsidR="0058797A" w:rsidRPr="00305356" w:rsidRDefault="0058797A" w:rsidP="0058797A">
      <w:pPr>
        <w:pStyle w:val="NormalWeb"/>
        <w:numPr>
          <w:ilvl w:val="0"/>
          <w:numId w:val="36"/>
        </w:numPr>
        <w:spacing w:before="0" w:beforeAutospacing="0" w:after="0" w:afterAutospacing="0"/>
      </w:pPr>
      <w:r>
        <w:rPr>
          <w:rFonts w:ascii="Arial" w:hAnsi="Arial" w:cs="Arial"/>
          <w:color w:val="000000"/>
          <w:sz w:val="22"/>
          <w:szCs w:val="22"/>
        </w:rPr>
        <w:t>BCVA gains achieved at month 12 remained stable through the 2nd year</w:t>
      </w:r>
    </w:p>
    <w:p w14:paraId="016216B4" w14:textId="77777777" w:rsidR="0058797A" w:rsidRDefault="0058797A" w:rsidP="0058797A">
      <w:pPr>
        <w:pStyle w:val="NormalWeb"/>
        <w:numPr>
          <w:ilvl w:val="0"/>
          <w:numId w:val="3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Between the TREX and GILA cohorts, there was no significant difference in:</w:t>
      </w:r>
    </w:p>
    <w:p w14:paraId="2B0D997C" w14:textId="77777777" w:rsidR="0058797A" w:rsidRDefault="0058797A" w:rsidP="0058797A">
      <w:pPr>
        <w:pStyle w:val="NormalWeb"/>
        <w:numPr>
          <w:ilvl w:val="1"/>
          <w:numId w:val="3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Mean treatment interval</w:t>
      </w:r>
    </w:p>
    <w:p w14:paraId="43C5F653" w14:textId="77777777" w:rsidR="0058797A" w:rsidRDefault="0058797A" w:rsidP="0058797A">
      <w:pPr>
        <w:pStyle w:val="NormalWeb"/>
        <w:numPr>
          <w:ilvl w:val="1"/>
          <w:numId w:val="3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Mean maximal treatment interval</w:t>
      </w:r>
    </w:p>
    <w:p w14:paraId="1C87B00C" w14:textId="77777777" w:rsidR="0058797A" w:rsidRDefault="0058797A" w:rsidP="0058797A">
      <w:pPr>
        <w:pStyle w:val="NormalWeb"/>
        <w:numPr>
          <w:ilvl w:val="1"/>
          <w:numId w:val="3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Percentage of eyes extended to 12 weeks</w:t>
      </w:r>
    </w:p>
    <w:p w14:paraId="1C798F15" w14:textId="77777777" w:rsidR="0058797A" w:rsidRDefault="0058797A" w:rsidP="0058797A">
      <w:pPr>
        <w:pStyle w:val="NormalWeb"/>
        <w:numPr>
          <w:ilvl w:val="0"/>
          <w:numId w:val="3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175 laser treatments were performed in the GILA cohort in the 1</w:t>
      </w:r>
      <w:r w:rsidRPr="00ED4E98">
        <w:rPr>
          <w:rFonts w:ascii="Arial" w:hAnsi="Arial" w:cs="Arial"/>
          <w:color w:val="000000"/>
          <w:sz w:val="22"/>
          <w:szCs w:val="22"/>
          <w:vertAlign w:val="superscript"/>
        </w:rPr>
        <w:t>st</w:t>
      </w:r>
      <w:r>
        <w:rPr>
          <w:rFonts w:ascii="Arial" w:hAnsi="Arial" w:cs="Arial"/>
          <w:color w:val="000000"/>
          <w:sz w:val="22"/>
          <w:szCs w:val="22"/>
        </w:rPr>
        <w:t xml:space="preserve"> year, 117 in the 2</w:t>
      </w:r>
      <w:r w:rsidRPr="00311391">
        <w:rPr>
          <w:rFonts w:ascii="Arial" w:hAnsi="Arial" w:cs="Arial"/>
          <w:color w:val="000000"/>
          <w:sz w:val="22"/>
          <w:szCs w:val="22"/>
          <w:vertAlign w:val="superscript"/>
        </w:rPr>
        <w:t>nd</w:t>
      </w:r>
      <w:r>
        <w:rPr>
          <w:rFonts w:ascii="Arial" w:hAnsi="Arial" w:cs="Arial"/>
          <w:color w:val="000000"/>
          <w:sz w:val="22"/>
          <w:szCs w:val="22"/>
        </w:rPr>
        <w:t xml:space="preserve"> </w:t>
      </w:r>
      <w:r w:rsidRPr="00311391">
        <w:rPr>
          <w:rFonts w:ascii="Arial" w:hAnsi="Arial" w:cs="Arial"/>
          <w:color w:val="000000"/>
          <w:sz w:val="22"/>
          <w:szCs w:val="22"/>
        </w:rPr>
        <w:t>year</w:t>
      </w:r>
    </w:p>
    <w:p w14:paraId="7E72E07B" w14:textId="4FA53AC4" w:rsidR="0058797A" w:rsidRPr="0058797A" w:rsidRDefault="0058797A" w:rsidP="0058797A">
      <w:pPr>
        <w:pStyle w:val="NormalWeb"/>
        <w:numPr>
          <w:ilvl w:val="0"/>
          <w:numId w:val="36"/>
        </w:numPr>
        <w:spacing w:before="0" w:beforeAutospacing="0" w:after="0" w:afterAutospacing="0"/>
      </w:pPr>
      <w:r w:rsidRPr="005B2AF3">
        <w:rPr>
          <w:rFonts w:ascii="Arial" w:hAnsi="Arial" w:cs="Arial"/>
          <w:color w:val="000000"/>
          <w:sz w:val="22"/>
          <w:szCs w:val="22"/>
        </w:rPr>
        <w:t xml:space="preserve">T/E dosing reduced the number of </w:t>
      </w:r>
      <w:proofErr w:type="spellStart"/>
      <w:r w:rsidRPr="005B2AF3">
        <w:rPr>
          <w:rFonts w:ascii="Arial" w:hAnsi="Arial" w:cs="Arial"/>
          <w:color w:val="000000"/>
          <w:sz w:val="22"/>
          <w:szCs w:val="22"/>
        </w:rPr>
        <w:t>ranibizumab</w:t>
      </w:r>
      <w:proofErr w:type="spellEnd"/>
      <w:r w:rsidRPr="005B2AF3">
        <w:rPr>
          <w:rFonts w:ascii="Arial" w:hAnsi="Arial" w:cs="Arial"/>
          <w:color w:val="000000"/>
          <w:sz w:val="22"/>
          <w:szCs w:val="22"/>
        </w:rPr>
        <w:t xml:space="preserve"> injections from 25 to 18 over 2 years</w:t>
      </w:r>
    </w:p>
    <w:p w14:paraId="10CC53A9" w14:textId="683AB9A3" w:rsidR="0058797A" w:rsidRDefault="0058797A" w:rsidP="0058797A">
      <w:pPr>
        <w:pStyle w:val="NormalWeb"/>
        <w:spacing w:before="0" w:beforeAutospacing="0" w:after="0" w:afterAutospacing="0"/>
        <w:rPr>
          <w:rFonts w:ascii="Arial" w:hAnsi="Arial" w:cs="Arial"/>
          <w:color w:val="000000"/>
          <w:sz w:val="22"/>
          <w:szCs w:val="22"/>
        </w:rPr>
      </w:pPr>
    </w:p>
    <w:p w14:paraId="3DC77237" w14:textId="77777777" w:rsidR="0058797A" w:rsidRDefault="0058797A" w:rsidP="0058797A">
      <w:pPr>
        <w:pStyle w:val="Heading3"/>
      </w:pPr>
      <w:r>
        <w:t>Year 3 Methods</w:t>
      </w:r>
    </w:p>
    <w:p w14:paraId="277583EB" w14:textId="77777777" w:rsidR="0058797A" w:rsidRPr="006834D8" w:rsidRDefault="0058797A" w:rsidP="0058797A">
      <w:pPr>
        <w:pStyle w:val="NormalWeb"/>
        <w:numPr>
          <w:ilvl w:val="0"/>
          <w:numId w:val="42"/>
        </w:numPr>
        <w:spacing w:before="0" w:beforeAutospacing="0" w:after="0" w:afterAutospacing="0"/>
      </w:pPr>
      <w:r>
        <w:rPr>
          <w:rFonts w:ascii="Arial" w:hAnsi="Arial" w:cs="Arial"/>
          <w:color w:val="000000"/>
          <w:sz w:val="22"/>
          <w:szCs w:val="22"/>
        </w:rPr>
        <w:t xml:space="preserve">All eyes were examined every 4 weeks and treated PRN with </w:t>
      </w:r>
      <w:proofErr w:type="spellStart"/>
      <w:r>
        <w:rPr>
          <w:rFonts w:ascii="Arial" w:hAnsi="Arial" w:cs="Arial"/>
          <w:color w:val="000000"/>
          <w:sz w:val="22"/>
          <w:szCs w:val="22"/>
        </w:rPr>
        <w:t>ranibizumab</w:t>
      </w:r>
      <w:proofErr w:type="spellEnd"/>
      <w:r>
        <w:rPr>
          <w:rFonts w:ascii="Arial" w:hAnsi="Arial" w:cs="Arial"/>
          <w:color w:val="000000"/>
          <w:sz w:val="22"/>
          <w:szCs w:val="22"/>
        </w:rPr>
        <w:t xml:space="preserve"> for:</w:t>
      </w:r>
    </w:p>
    <w:p w14:paraId="6252A357" w14:textId="77777777" w:rsidR="0058797A" w:rsidRPr="006834D8" w:rsidRDefault="0058797A" w:rsidP="0058797A">
      <w:pPr>
        <w:pStyle w:val="NormalWeb"/>
        <w:numPr>
          <w:ilvl w:val="1"/>
          <w:numId w:val="42"/>
        </w:numPr>
        <w:spacing w:before="0" w:beforeAutospacing="0" w:after="0" w:afterAutospacing="0"/>
      </w:pPr>
      <w:r>
        <w:rPr>
          <w:rFonts w:ascii="Arial" w:hAnsi="Arial" w:cs="Arial"/>
          <w:color w:val="000000"/>
          <w:sz w:val="22"/>
          <w:szCs w:val="22"/>
        </w:rPr>
        <w:t xml:space="preserve">&gt; 5 letters vision loss or </w:t>
      </w:r>
    </w:p>
    <w:p w14:paraId="175119B3" w14:textId="77777777" w:rsidR="0058797A" w:rsidRPr="006834D8" w:rsidRDefault="0058797A" w:rsidP="0058797A">
      <w:pPr>
        <w:pStyle w:val="NormalWeb"/>
        <w:numPr>
          <w:ilvl w:val="1"/>
          <w:numId w:val="42"/>
        </w:numPr>
        <w:spacing w:before="0" w:beforeAutospacing="0" w:after="0" w:afterAutospacing="0"/>
      </w:pPr>
      <w:r>
        <w:rPr>
          <w:rFonts w:ascii="Arial" w:hAnsi="Arial" w:cs="Arial"/>
          <w:color w:val="000000"/>
          <w:sz w:val="22"/>
          <w:szCs w:val="22"/>
        </w:rPr>
        <w:t xml:space="preserve">CRT was &gt; 325 µm or </w:t>
      </w:r>
    </w:p>
    <w:p w14:paraId="1D539A62" w14:textId="77777777" w:rsidR="0058797A" w:rsidRPr="006834D8" w:rsidRDefault="0058797A" w:rsidP="0058797A">
      <w:pPr>
        <w:pStyle w:val="NormalWeb"/>
        <w:numPr>
          <w:ilvl w:val="1"/>
          <w:numId w:val="42"/>
        </w:numPr>
        <w:spacing w:before="0" w:beforeAutospacing="0" w:after="0" w:afterAutospacing="0"/>
      </w:pPr>
      <w:r>
        <w:rPr>
          <w:rFonts w:ascii="Arial" w:hAnsi="Arial" w:cs="Arial"/>
          <w:color w:val="000000"/>
          <w:sz w:val="22"/>
          <w:szCs w:val="22"/>
        </w:rPr>
        <w:t>&gt; 5 letters vision loss compared with the vision at week 104 visit</w:t>
      </w:r>
    </w:p>
    <w:p w14:paraId="2B56577A" w14:textId="7DECC35D" w:rsidR="0058797A" w:rsidRPr="00311391" w:rsidRDefault="0058797A" w:rsidP="0058797A">
      <w:pPr>
        <w:pStyle w:val="NormalWeb"/>
        <w:numPr>
          <w:ilvl w:val="0"/>
          <w:numId w:val="42"/>
        </w:numPr>
        <w:spacing w:before="0" w:beforeAutospacing="0" w:after="0" w:afterAutospacing="0"/>
      </w:pPr>
      <w:r>
        <w:rPr>
          <w:rFonts w:ascii="Arial" w:hAnsi="Arial" w:cs="Arial"/>
          <w:color w:val="000000"/>
          <w:sz w:val="22"/>
          <w:szCs w:val="22"/>
        </w:rPr>
        <w:t>All eyes were</w:t>
      </w:r>
      <w:r>
        <w:rPr>
          <w:rFonts w:ascii="Arial" w:hAnsi="Arial" w:cs="Arial"/>
          <w:color w:val="000000"/>
          <w:sz w:val="22"/>
          <w:szCs w:val="22"/>
        </w:rPr>
        <w:t>:</w:t>
      </w:r>
      <w:r>
        <w:rPr>
          <w:rFonts w:ascii="Arial" w:hAnsi="Arial" w:cs="Arial"/>
          <w:color w:val="000000"/>
          <w:sz w:val="22"/>
          <w:szCs w:val="22"/>
        </w:rPr>
        <w:t xml:space="preserve"> </w:t>
      </w:r>
    </w:p>
    <w:p w14:paraId="2A66ADCD" w14:textId="77777777" w:rsidR="0058797A" w:rsidRPr="00311391" w:rsidRDefault="0058797A" w:rsidP="0058797A">
      <w:pPr>
        <w:pStyle w:val="NormalWeb"/>
        <w:numPr>
          <w:ilvl w:val="1"/>
          <w:numId w:val="42"/>
        </w:numPr>
        <w:spacing w:before="0" w:beforeAutospacing="0" w:after="0" w:afterAutospacing="0"/>
        <w:rPr>
          <w:rFonts w:ascii="Arial" w:hAnsi="Arial" w:cs="Arial"/>
          <w:sz w:val="22"/>
          <w:szCs w:val="22"/>
        </w:rPr>
      </w:pPr>
      <w:r w:rsidRPr="00311391">
        <w:rPr>
          <w:rFonts w:ascii="Arial" w:hAnsi="Arial" w:cs="Arial"/>
          <w:color w:val="000000"/>
          <w:sz w:val="22"/>
          <w:szCs w:val="22"/>
        </w:rPr>
        <w:t>Eligible to receive focal laser</w:t>
      </w:r>
    </w:p>
    <w:p w14:paraId="40265A14" w14:textId="77777777" w:rsidR="0058797A" w:rsidRPr="00311391" w:rsidRDefault="0058797A" w:rsidP="0058797A">
      <w:pPr>
        <w:pStyle w:val="NormalWeb"/>
        <w:numPr>
          <w:ilvl w:val="1"/>
          <w:numId w:val="42"/>
        </w:numPr>
        <w:spacing w:before="0" w:beforeAutospacing="0" w:after="0" w:afterAutospacing="0"/>
        <w:rPr>
          <w:rFonts w:ascii="Arial" w:hAnsi="Arial" w:cs="Arial"/>
          <w:sz w:val="22"/>
          <w:szCs w:val="22"/>
        </w:rPr>
      </w:pPr>
      <w:r w:rsidRPr="00311391">
        <w:rPr>
          <w:rFonts w:ascii="Arial" w:hAnsi="Arial" w:cs="Arial"/>
          <w:sz w:val="22"/>
          <w:szCs w:val="22"/>
        </w:rPr>
        <w:t>E</w:t>
      </w:r>
      <w:r w:rsidRPr="00311391">
        <w:rPr>
          <w:rFonts w:ascii="Arial" w:hAnsi="Arial" w:cs="Arial"/>
          <w:color w:val="000000"/>
          <w:sz w:val="22"/>
          <w:szCs w:val="22"/>
        </w:rPr>
        <w:t>valuated at weeks 116, 128, 140, and 152</w:t>
      </w:r>
    </w:p>
    <w:p w14:paraId="1A5A8B7B" w14:textId="64F55CDF" w:rsidR="0058797A" w:rsidRPr="00311391" w:rsidRDefault="0058797A" w:rsidP="0058797A">
      <w:pPr>
        <w:pStyle w:val="NormalWeb"/>
        <w:numPr>
          <w:ilvl w:val="1"/>
          <w:numId w:val="42"/>
        </w:numPr>
        <w:spacing w:before="0" w:beforeAutospacing="0" w:after="0" w:afterAutospacing="0"/>
        <w:rPr>
          <w:sz w:val="22"/>
          <w:szCs w:val="22"/>
        </w:rPr>
      </w:pPr>
      <w:r>
        <w:rPr>
          <w:rFonts w:ascii="Arial" w:hAnsi="Arial" w:cs="Arial"/>
          <w:color w:val="000000"/>
          <w:sz w:val="22"/>
          <w:szCs w:val="22"/>
        </w:rPr>
        <w:t>Treated with</w:t>
      </w:r>
      <w:r w:rsidRPr="00311391">
        <w:rPr>
          <w:rFonts w:ascii="Arial" w:hAnsi="Arial" w:cs="Arial"/>
          <w:color w:val="000000"/>
          <w:sz w:val="22"/>
          <w:szCs w:val="22"/>
        </w:rPr>
        <w:t xml:space="preserve"> laser the</w:t>
      </w:r>
      <w:r>
        <w:rPr>
          <w:rFonts w:ascii="Arial" w:hAnsi="Arial" w:cs="Arial"/>
          <w:color w:val="000000"/>
          <w:sz w:val="22"/>
          <w:szCs w:val="22"/>
        </w:rPr>
        <w:t xml:space="preserve">rapy if the eye had received ≥ </w:t>
      </w:r>
      <w:r w:rsidRPr="00311391">
        <w:rPr>
          <w:rFonts w:ascii="Arial" w:hAnsi="Arial" w:cs="Arial"/>
          <w:color w:val="000000"/>
          <w:sz w:val="22"/>
          <w:szCs w:val="22"/>
        </w:rPr>
        <w:t xml:space="preserve">2 IVT injections </w:t>
      </w:r>
      <w:r>
        <w:rPr>
          <w:rFonts w:ascii="Arial" w:hAnsi="Arial" w:cs="Arial"/>
          <w:color w:val="000000"/>
          <w:sz w:val="22"/>
          <w:szCs w:val="22"/>
        </w:rPr>
        <w:t>in</w:t>
      </w:r>
      <w:r w:rsidRPr="00311391">
        <w:rPr>
          <w:rFonts w:ascii="Arial" w:hAnsi="Arial" w:cs="Arial"/>
          <w:color w:val="000000"/>
          <w:sz w:val="22"/>
          <w:szCs w:val="22"/>
        </w:rPr>
        <w:t xml:space="preserve"> the previous 90 days</w:t>
      </w:r>
    </w:p>
    <w:p w14:paraId="1EA5BBD6" w14:textId="77777777" w:rsidR="0058797A" w:rsidRPr="0009359D" w:rsidRDefault="0058797A" w:rsidP="0058797A">
      <w:pPr>
        <w:pStyle w:val="NormalWeb"/>
        <w:numPr>
          <w:ilvl w:val="0"/>
          <w:numId w:val="42"/>
        </w:numPr>
        <w:spacing w:before="0" w:beforeAutospacing="0" w:after="0" w:afterAutospacing="0"/>
      </w:pPr>
      <w:r>
        <w:rPr>
          <w:rFonts w:ascii="Arial" w:hAnsi="Arial" w:cs="Arial"/>
          <w:color w:val="000000"/>
          <w:sz w:val="22"/>
          <w:szCs w:val="22"/>
        </w:rPr>
        <w:t>Primary outcome measures</w:t>
      </w:r>
    </w:p>
    <w:p w14:paraId="5723C586" w14:textId="77777777" w:rsidR="0058797A" w:rsidRPr="0009359D" w:rsidRDefault="0058797A" w:rsidP="0058797A">
      <w:pPr>
        <w:pStyle w:val="NormalWeb"/>
        <w:numPr>
          <w:ilvl w:val="1"/>
          <w:numId w:val="42"/>
        </w:numPr>
        <w:spacing w:before="0" w:beforeAutospacing="0" w:after="0" w:afterAutospacing="0"/>
      </w:pPr>
      <w:r>
        <w:rPr>
          <w:rFonts w:ascii="Arial" w:hAnsi="Arial" w:cs="Arial"/>
          <w:color w:val="000000"/>
          <w:sz w:val="22"/>
          <w:szCs w:val="22"/>
        </w:rPr>
        <w:t>Change in mean BCVA from screening and week 104 to week 156</w:t>
      </w:r>
    </w:p>
    <w:p w14:paraId="125D9C25" w14:textId="77777777" w:rsidR="0058797A" w:rsidRPr="0009359D" w:rsidRDefault="0058797A" w:rsidP="0058797A">
      <w:pPr>
        <w:pStyle w:val="NormalWeb"/>
        <w:numPr>
          <w:ilvl w:val="0"/>
          <w:numId w:val="42"/>
        </w:numPr>
        <w:spacing w:before="0" w:beforeAutospacing="0" w:after="0" w:afterAutospacing="0"/>
      </w:pPr>
      <w:r>
        <w:rPr>
          <w:rFonts w:ascii="Arial" w:hAnsi="Arial" w:cs="Arial"/>
          <w:color w:val="000000"/>
          <w:sz w:val="22"/>
          <w:szCs w:val="22"/>
        </w:rPr>
        <w:t>Secondary outcomes measures</w:t>
      </w:r>
    </w:p>
    <w:p w14:paraId="2C3BF196" w14:textId="77777777" w:rsidR="0058797A" w:rsidRPr="0009359D" w:rsidRDefault="0058797A" w:rsidP="0058797A">
      <w:pPr>
        <w:pStyle w:val="NormalWeb"/>
        <w:numPr>
          <w:ilvl w:val="1"/>
          <w:numId w:val="42"/>
        </w:numPr>
        <w:spacing w:before="0" w:beforeAutospacing="0" w:after="0" w:afterAutospacing="0"/>
      </w:pPr>
      <w:r>
        <w:rPr>
          <w:rFonts w:ascii="Arial" w:hAnsi="Arial" w:cs="Arial"/>
          <w:color w:val="000000"/>
          <w:sz w:val="22"/>
          <w:szCs w:val="22"/>
        </w:rPr>
        <w:t>Mean change in CRT</w:t>
      </w:r>
    </w:p>
    <w:p w14:paraId="12AFDF89" w14:textId="77777777" w:rsidR="0058797A" w:rsidRPr="0009359D" w:rsidRDefault="0058797A" w:rsidP="0058797A">
      <w:pPr>
        <w:pStyle w:val="NormalWeb"/>
        <w:numPr>
          <w:ilvl w:val="1"/>
          <w:numId w:val="42"/>
        </w:numPr>
        <w:spacing w:before="0" w:beforeAutospacing="0" w:after="0" w:afterAutospacing="0"/>
      </w:pPr>
      <w:r>
        <w:rPr>
          <w:rFonts w:ascii="Arial" w:hAnsi="Arial" w:cs="Arial"/>
          <w:color w:val="000000"/>
          <w:sz w:val="22"/>
          <w:szCs w:val="22"/>
        </w:rPr>
        <w:t>Total number of IVT injections and laser treatments</w:t>
      </w:r>
    </w:p>
    <w:p w14:paraId="001F4EA9" w14:textId="77777777" w:rsidR="0058797A" w:rsidRPr="0009359D" w:rsidRDefault="0058797A" w:rsidP="0058797A">
      <w:pPr>
        <w:pStyle w:val="NormalWeb"/>
        <w:numPr>
          <w:ilvl w:val="1"/>
          <w:numId w:val="42"/>
        </w:numPr>
        <w:spacing w:before="0" w:beforeAutospacing="0" w:after="0" w:afterAutospacing="0"/>
      </w:pPr>
      <w:r>
        <w:rPr>
          <w:rFonts w:ascii="Arial" w:hAnsi="Arial" w:cs="Arial"/>
          <w:color w:val="000000"/>
          <w:sz w:val="22"/>
          <w:szCs w:val="22"/>
        </w:rPr>
        <w:t>Percentage of patients gaining or losing 2 and 3 lines of vision</w:t>
      </w:r>
    </w:p>
    <w:p w14:paraId="2FF0A3C4" w14:textId="68EB8DCF" w:rsidR="0058797A" w:rsidRPr="0058797A" w:rsidRDefault="0058797A" w:rsidP="0058797A">
      <w:pPr>
        <w:pStyle w:val="NormalWeb"/>
        <w:numPr>
          <w:ilvl w:val="1"/>
          <w:numId w:val="42"/>
        </w:numPr>
        <w:spacing w:before="0" w:beforeAutospacing="0" w:after="0" w:afterAutospacing="0"/>
      </w:pPr>
      <w:r>
        <w:rPr>
          <w:rFonts w:ascii="Arial" w:hAnsi="Arial" w:cs="Arial"/>
          <w:color w:val="000000"/>
          <w:sz w:val="22"/>
          <w:szCs w:val="22"/>
        </w:rPr>
        <w:t>Incidence and</w:t>
      </w:r>
      <w:r>
        <w:rPr>
          <w:rFonts w:ascii="Arial" w:hAnsi="Arial" w:cs="Arial"/>
          <w:color w:val="000000"/>
          <w:sz w:val="22"/>
          <w:szCs w:val="22"/>
        </w:rPr>
        <w:t xml:space="preserve"> severity of adverse events from week 104 to week 156</w:t>
      </w:r>
    </w:p>
    <w:p w14:paraId="1E245223" w14:textId="77777777" w:rsidR="0058797A" w:rsidRDefault="0058797A" w:rsidP="0058797A">
      <w:pPr>
        <w:pStyle w:val="Heading3"/>
      </w:pPr>
      <w:r>
        <w:t>Year 3 Results</w:t>
      </w:r>
    </w:p>
    <w:p w14:paraId="726FBF1C" w14:textId="77777777" w:rsidR="0058797A" w:rsidRPr="0009359D" w:rsidRDefault="0058797A" w:rsidP="0058797A">
      <w:pPr>
        <w:pStyle w:val="NormalWeb"/>
        <w:numPr>
          <w:ilvl w:val="0"/>
          <w:numId w:val="43"/>
        </w:numPr>
        <w:spacing w:before="0" w:beforeAutospacing="0" w:after="0" w:afterAutospacing="0"/>
      </w:pPr>
      <w:r>
        <w:rPr>
          <w:rFonts w:ascii="Arial" w:hAnsi="Arial" w:cs="Arial"/>
          <w:color w:val="000000"/>
          <w:sz w:val="22"/>
          <w:szCs w:val="22"/>
        </w:rPr>
        <w:t>109 eyes (73%) completed the 3-year endpoint</w:t>
      </w:r>
    </w:p>
    <w:p w14:paraId="4403906E" w14:textId="77777777" w:rsidR="0058797A" w:rsidRPr="00B40100" w:rsidRDefault="0058797A" w:rsidP="0058797A">
      <w:pPr>
        <w:pStyle w:val="NormalWeb"/>
        <w:numPr>
          <w:ilvl w:val="0"/>
          <w:numId w:val="43"/>
        </w:numPr>
        <w:spacing w:before="0" w:beforeAutospacing="0" w:after="0" w:afterAutospacing="0"/>
      </w:pPr>
      <w:r>
        <w:rPr>
          <w:rFonts w:ascii="Arial" w:hAnsi="Arial" w:cs="Arial"/>
          <w:color w:val="000000"/>
          <w:sz w:val="22"/>
          <w:szCs w:val="22"/>
        </w:rPr>
        <w:t>19 subjects (26 eyes) were lost to follow-up</w:t>
      </w:r>
    </w:p>
    <w:p w14:paraId="57C89E28" w14:textId="77777777" w:rsidR="0058797A" w:rsidRPr="0009359D" w:rsidRDefault="0058797A" w:rsidP="0058797A">
      <w:pPr>
        <w:pStyle w:val="NormalWeb"/>
        <w:numPr>
          <w:ilvl w:val="0"/>
          <w:numId w:val="43"/>
        </w:numPr>
        <w:spacing w:before="0" w:beforeAutospacing="0" w:after="0" w:afterAutospacing="0"/>
      </w:pPr>
      <w:r>
        <w:rPr>
          <w:rFonts w:ascii="Arial" w:hAnsi="Arial" w:cs="Arial"/>
          <w:color w:val="000000"/>
          <w:sz w:val="22"/>
          <w:szCs w:val="22"/>
        </w:rPr>
        <w:t>4 subjects (5 eyes) withdrew consent</w:t>
      </w:r>
    </w:p>
    <w:p w14:paraId="46684856" w14:textId="77777777" w:rsidR="0058797A" w:rsidRPr="00A40358" w:rsidRDefault="0058797A" w:rsidP="0058797A">
      <w:pPr>
        <w:pStyle w:val="NormalWeb"/>
        <w:numPr>
          <w:ilvl w:val="0"/>
          <w:numId w:val="43"/>
        </w:numPr>
        <w:spacing w:before="0" w:beforeAutospacing="0" w:after="0" w:afterAutospacing="0"/>
      </w:pPr>
      <w:r>
        <w:rPr>
          <w:rFonts w:ascii="Arial" w:hAnsi="Arial" w:cs="Arial"/>
          <w:color w:val="000000"/>
          <w:sz w:val="22"/>
          <w:szCs w:val="22"/>
        </w:rPr>
        <w:t>8 subjects (10 eyes) died prior to reaching the 3-year endpoint</w:t>
      </w:r>
    </w:p>
    <w:p w14:paraId="29ABE2FC" w14:textId="77777777" w:rsidR="0058797A" w:rsidRPr="0009359D" w:rsidRDefault="0058797A" w:rsidP="0058797A">
      <w:pPr>
        <w:pStyle w:val="NormalWeb"/>
        <w:numPr>
          <w:ilvl w:val="0"/>
          <w:numId w:val="43"/>
        </w:numPr>
        <w:spacing w:before="0" w:beforeAutospacing="0" w:after="0" w:afterAutospacing="0"/>
      </w:pPr>
      <w:r>
        <w:rPr>
          <w:rFonts w:ascii="Arial" w:hAnsi="Arial" w:cs="Arial"/>
          <w:color w:val="000000"/>
          <w:sz w:val="22"/>
          <w:szCs w:val="22"/>
        </w:rPr>
        <w:t>364 injections were given in the third year</w:t>
      </w:r>
    </w:p>
    <w:p w14:paraId="177928F1" w14:textId="31936C4B" w:rsidR="0058797A" w:rsidRPr="00311391" w:rsidRDefault="0058797A" w:rsidP="0058797A">
      <w:pPr>
        <w:pStyle w:val="NormalWeb"/>
        <w:numPr>
          <w:ilvl w:val="0"/>
          <w:numId w:val="43"/>
        </w:numPr>
        <w:spacing w:before="0" w:beforeAutospacing="0" w:after="0" w:afterAutospacing="0"/>
      </w:pPr>
      <w:r>
        <w:rPr>
          <w:rFonts w:ascii="Arial" w:hAnsi="Arial" w:cs="Arial"/>
          <w:color w:val="000000"/>
          <w:sz w:val="22"/>
          <w:szCs w:val="22"/>
        </w:rPr>
        <w:t xml:space="preserve">86 eyes (79%) required at least 1 </w:t>
      </w:r>
      <w:proofErr w:type="spellStart"/>
      <w:r>
        <w:rPr>
          <w:rFonts w:ascii="Arial" w:hAnsi="Arial" w:cs="Arial"/>
          <w:color w:val="000000"/>
          <w:sz w:val="22"/>
          <w:szCs w:val="22"/>
        </w:rPr>
        <w:t>ranibizumab</w:t>
      </w:r>
      <w:proofErr w:type="spellEnd"/>
      <w:r>
        <w:rPr>
          <w:rFonts w:ascii="Arial" w:hAnsi="Arial" w:cs="Arial"/>
          <w:color w:val="000000"/>
          <w:sz w:val="22"/>
          <w:szCs w:val="22"/>
        </w:rPr>
        <w:t xml:space="preserve"> injection in the third year</w:t>
      </w:r>
    </w:p>
    <w:p w14:paraId="6E7A13B8" w14:textId="77777777" w:rsidR="0058797A" w:rsidRPr="00867D3A" w:rsidRDefault="0058797A" w:rsidP="0058797A">
      <w:pPr>
        <w:pStyle w:val="NormalWeb"/>
        <w:spacing w:before="0" w:beforeAutospacing="0" w:after="0" w:afterAutospacing="0"/>
        <w:textAlignment w:val="baseline"/>
        <w:rPr>
          <w:rFonts w:ascii="Arial" w:hAnsi="Arial" w:cs="Arial"/>
          <w:color w:val="000000"/>
          <w:sz w:val="22"/>
          <w:szCs w:val="22"/>
        </w:rPr>
      </w:pPr>
    </w:p>
    <w:p w14:paraId="14C2A5D2" w14:textId="47192BAF" w:rsidR="006C28E9" w:rsidRDefault="00305356" w:rsidP="00305356">
      <w:pPr>
        <w:pStyle w:val="Heading3"/>
      </w:pPr>
      <w:r>
        <w:t>Conclusions</w:t>
      </w:r>
    </w:p>
    <w:p w14:paraId="5E199405" w14:textId="2BF2C944" w:rsidR="00ED4E98" w:rsidRPr="00ED4E98" w:rsidRDefault="006C28E9" w:rsidP="00415ABE">
      <w:pPr>
        <w:pStyle w:val="NormalWeb"/>
        <w:numPr>
          <w:ilvl w:val="0"/>
          <w:numId w:val="37"/>
        </w:numPr>
        <w:spacing w:before="0" w:beforeAutospacing="0" w:after="0" w:afterAutospacing="0"/>
      </w:pPr>
      <w:r>
        <w:rPr>
          <w:rFonts w:ascii="Arial" w:hAnsi="Arial" w:cs="Arial"/>
          <w:color w:val="000000"/>
          <w:sz w:val="22"/>
          <w:szCs w:val="22"/>
        </w:rPr>
        <w:t xml:space="preserve">TREX </w:t>
      </w:r>
      <w:r w:rsidR="00ED4E98">
        <w:rPr>
          <w:rFonts w:ascii="Arial" w:hAnsi="Arial" w:cs="Arial"/>
          <w:color w:val="000000"/>
          <w:sz w:val="22"/>
          <w:szCs w:val="22"/>
        </w:rPr>
        <w:t>dosing significantly decreased</w:t>
      </w:r>
      <w:r>
        <w:rPr>
          <w:rFonts w:ascii="Arial" w:hAnsi="Arial" w:cs="Arial"/>
          <w:color w:val="000000"/>
          <w:sz w:val="22"/>
          <w:szCs w:val="22"/>
        </w:rPr>
        <w:t xml:space="preserve"> the number of injections given </w:t>
      </w:r>
      <w:r w:rsidR="00ED4E98">
        <w:rPr>
          <w:rFonts w:ascii="Arial" w:hAnsi="Arial" w:cs="Arial"/>
          <w:color w:val="000000"/>
          <w:sz w:val="22"/>
          <w:szCs w:val="22"/>
        </w:rPr>
        <w:t>compared to monthly dosing</w:t>
      </w:r>
      <w:r w:rsidR="0058797A">
        <w:rPr>
          <w:rFonts w:ascii="Arial" w:hAnsi="Arial" w:cs="Arial"/>
          <w:color w:val="000000"/>
          <w:sz w:val="22"/>
          <w:szCs w:val="22"/>
        </w:rPr>
        <w:t xml:space="preserve"> at 1 year</w:t>
      </w:r>
    </w:p>
    <w:p w14:paraId="4012C7B0" w14:textId="73DC62FC" w:rsidR="00305356" w:rsidRDefault="00ED4E98" w:rsidP="00ED4E98">
      <w:pPr>
        <w:pStyle w:val="NormalWeb"/>
        <w:numPr>
          <w:ilvl w:val="1"/>
          <w:numId w:val="37"/>
        </w:numPr>
        <w:spacing w:before="0" w:beforeAutospacing="0" w:after="0" w:afterAutospacing="0"/>
      </w:pPr>
      <w:r>
        <w:rPr>
          <w:rFonts w:ascii="Arial" w:hAnsi="Arial" w:cs="Arial"/>
          <w:color w:val="000000"/>
          <w:sz w:val="22"/>
          <w:szCs w:val="22"/>
        </w:rPr>
        <w:t>Provides</w:t>
      </w:r>
      <w:r w:rsidR="006C28E9">
        <w:rPr>
          <w:rFonts w:ascii="Arial" w:hAnsi="Arial" w:cs="Arial"/>
          <w:color w:val="000000"/>
          <w:sz w:val="22"/>
          <w:szCs w:val="22"/>
        </w:rPr>
        <w:t xml:space="preserve"> simil</w:t>
      </w:r>
      <w:r>
        <w:rPr>
          <w:rFonts w:ascii="Arial" w:hAnsi="Arial" w:cs="Arial"/>
          <w:color w:val="000000"/>
          <w:sz w:val="22"/>
          <w:szCs w:val="22"/>
        </w:rPr>
        <w:t>ar visual and anatomic outcomes</w:t>
      </w:r>
    </w:p>
    <w:p w14:paraId="429DA13C" w14:textId="1C200667" w:rsidR="006C28E9" w:rsidRPr="0058797A" w:rsidRDefault="006C28E9" w:rsidP="006C28E9">
      <w:pPr>
        <w:pStyle w:val="NormalWeb"/>
        <w:numPr>
          <w:ilvl w:val="0"/>
          <w:numId w:val="37"/>
        </w:numPr>
        <w:spacing w:before="0" w:beforeAutospacing="0" w:after="0" w:afterAutospacing="0"/>
      </w:pPr>
      <w:r w:rsidRPr="00305356">
        <w:rPr>
          <w:rFonts w:ascii="Arial" w:hAnsi="Arial" w:cs="Arial"/>
          <w:color w:val="000000"/>
          <w:sz w:val="22"/>
          <w:szCs w:val="22"/>
        </w:rPr>
        <w:t xml:space="preserve">Adding </w:t>
      </w:r>
      <w:r w:rsidR="00ED4E98">
        <w:rPr>
          <w:rFonts w:ascii="Arial" w:hAnsi="Arial" w:cs="Arial"/>
          <w:color w:val="000000"/>
          <w:sz w:val="22"/>
          <w:szCs w:val="22"/>
        </w:rPr>
        <w:t>laser treatment</w:t>
      </w:r>
      <w:r w:rsidRPr="00305356">
        <w:rPr>
          <w:rFonts w:ascii="Arial" w:hAnsi="Arial" w:cs="Arial"/>
          <w:color w:val="000000"/>
          <w:sz w:val="22"/>
          <w:szCs w:val="22"/>
        </w:rPr>
        <w:t xml:space="preserve"> did not</w:t>
      </w:r>
      <w:r w:rsidR="00ED4E98">
        <w:rPr>
          <w:rFonts w:ascii="Arial" w:hAnsi="Arial" w:cs="Arial"/>
          <w:color w:val="000000"/>
          <w:sz w:val="22"/>
          <w:szCs w:val="22"/>
        </w:rPr>
        <w:t xml:space="preserve"> significantly improve outcomes at 1 year</w:t>
      </w:r>
    </w:p>
    <w:p w14:paraId="58A0E959" w14:textId="77777777" w:rsidR="0058797A" w:rsidRDefault="0058797A" w:rsidP="0058797A">
      <w:pPr>
        <w:pStyle w:val="NormalWeb"/>
        <w:numPr>
          <w:ilvl w:val="0"/>
          <w:numId w:val="37"/>
        </w:numPr>
        <w:spacing w:before="0" w:beforeAutospacing="0" w:after="0" w:afterAutospacing="0"/>
      </w:pPr>
      <w:r>
        <w:rPr>
          <w:rFonts w:ascii="Arial" w:hAnsi="Arial" w:cs="Arial"/>
          <w:color w:val="000000"/>
          <w:sz w:val="22"/>
          <w:szCs w:val="22"/>
        </w:rPr>
        <w:t>Conclusions from the 1</w:t>
      </w:r>
      <w:r w:rsidRPr="00311391">
        <w:rPr>
          <w:rFonts w:ascii="Arial" w:hAnsi="Arial" w:cs="Arial"/>
          <w:color w:val="000000"/>
          <w:sz w:val="22"/>
          <w:szCs w:val="22"/>
          <w:vertAlign w:val="superscript"/>
        </w:rPr>
        <w:t>st</w:t>
      </w:r>
      <w:r>
        <w:rPr>
          <w:rFonts w:ascii="Arial" w:hAnsi="Arial" w:cs="Arial"/>
          <w:color w:val="000000"/>
          <w:sz w:val="22"/>
          <w:szCs w:val="22"/>
        </w:rPr>
        <w:t xml:space="preserve"> year held true for the 2</w:t>
      </w:r>
      <w:r w:rsidRPr="00311391">
        <w:rPr>
          <w:rFonts w:ascii="Arial" w:hAnsi="Arial" w:cs="Arial"/>
          <w:color w:val="000000"/>
          <w:sz w:val="22"/>
          <w:szCs w:val="22"/>
          <w:vertAlign w:val="superscript"/>
        </w:rPr>
        <w:t>nd</w:t>
      </w:r>
      <w:r>
        <w:rPr>
          <w:rFonts w:ascii="Arial" w:hAnsi="Arial" w:cs="Arial"/>
          <w:color w:val="000000"/>
          <w:sz w:val="22"/>
          <w:szCs w:val="22"/>
        </w:rPr>
        <w:t xml:space="preserve"> year of the study</w:t>
      </w:r>
    </w:p>
    <w:p w14:paraId="13A268F3" w14:textId="280E7863" w:rsidR="0058797A" w:rsidRDefault="0058797A" w:rsidP="0058797A">
      <w:pPr>
        <w:pStyle w:val="NormalWeb"/>
        <w:numPr>
          <w:ilvl w:val="0"/>
          <w:numId w:val="37"/>
        </w:numPr>
        <w:spacing w:before="0" w:beforeAutospacing="0" w:after="0" w:afterAutospacing="0"/>
      </w:pPr>
      <w:r>
        <w:rPr>
          <w:rFonts w:ascii="Arial" w:hAnsi="Arial" w:cs="Arial"/>
          <w:color w:val="000000"/>
          <w:sz w:val="22"/>
          <w:szCs w:val="22"/>
        </w:rPr>
        <w:t>The improvements achieved after the 2</w:t>
      </w:r>
      <w:r w:rsidRPr="00B40100">
        <w:rPr>
          <w:rFonts w:ascii="Arial" w:hAnsi="Arial" w:cs="Arial"/>
          <w:color w:val="000000"/>
          <w:sz w:val="22"/>
          <w:szCs w:val="22"/>
          <w:vertAlign w:val="superscript"/>
        </w:rPr>
        <w:t>nd</w:t>
      </w:r>
      <w:r>
        <w:rPr>
          <w:rFonts w:ascii="Arial" w:hAnsi="Arial" w:cs="Arial"/>
          <w:color w:val="000000"/>
          <w:sz w:val="22"/>
          <w:szCs w:val="22"/>
        </w:rPr>
        <w:t xml:space="preserve"> year of the study were maintained in the 3</w:t>
      </w:r>
      <w:r w:rsidRPr="00B40100">
        <w:rPr>
          <w:rFonts w:ascii="Arial" w:hAnsi="Arial" w:cs="Arial"/>
          <w:color w:val="000000"/>
          <w:sz w:val="22"/>
          <w:szCs w:val="22"/>
          <w:vertAlign w:val="superscript"/>
        </w:rPr>
        <w:t>rd</w:t>
      </w:r>
      <w:r>
        <w:rPr>
          <w:rFonts w:ascii="Arial" w:hAnsi="Arial" w:cs="Arial"/>
          <w:color w:val="000000"/>
          <w:sz w:val="22"/>
          <w:szCs w:val="22"/>
        </w:rPr>
        <w:t xml:space="preserve"> year</w:t>
      </w:r>
    </w:p>
    <w:p w14:paraId="343F4E45" w14:textId="6DBDACA8" w:rsidR="006C28E9" w:rsidRDefault="00305356" w:rsidP="00305356">
      <w:pPr>
        <w:pStyle w:val="Heading3"/>
      </w:pPr>
      <w:r>
        <w:t>Limitations</w:t>
      </w:r>
    </w:p>
    <w:p w14:paraId="7BAA6DE0" w14:textId="77777777" w:rsidR="006C28E9" w:rsidRDefault="006C28E9" w:rsidP="00415ABE">
      <w:pPr>
        <w:pStyle w:val="NormalWeb"/>
        <w:numPr>
          <w:ilvl w:val="0"/>
          <w:numId w:val="3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No centralized reading center for CRT measurement</w:t>
      </w:r>
    </w:p>
    <w:p w14:paraId="238B998D" w14:textId="77777777" w:rsidR="006C28E9" w:rsidRDefault="006C28E9" w:rsidP="00415ABE">
      <w:pPr>
        <w:pStyle w:val="NormalWeb"/>
        <w:numPr>
          <w:ilvl w:val="0"/>
          <w:numId w:val="3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T/E algorithm may have been too conservative</w:t>
      </w:r>
    </w:p>
    <w:p w14:paraId="3991EF09" w14:textId="2047C8C2" w:rsidR="006C28E9" w:rsidRPr="00ED4E98" w:rsidRDefault="006C28E9" w:rsidP="006C28E9">
      <w:pPr>
        <w:pStyle w:val="NormalWeb"/>
        <w:numPr>
          <w:ilvl w:val="0"/>
          <w:numId w:val="3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Both eyes were able to be enrolled, so there is a potential</w:t>
      </w:r>
      <w:r w:rsidR="00ED4E98">
        <w:rPr>
          <w:rFonts w:ascii="Arial" w:hAnsi="Arial" w:cs="Arial"/>
          <w:color w:val="000000"/>
          <w:sz w:val="22"/>
          <w:szCs w:val="22"/>
        </w:rPr>
        <w:t xml:space="preserve"> for bilateral effects from IVT </w:t>
      </w:r>
      <w:proofErr w:type="spellStart"/>
      <w:r w:rsidR="00ED4E98">
        <w:rPr>
          <w:rFonts w:ascii="Arial" w:hAnsi="Arial" w:cs="Arial"/>
          <w:color w:val="000000"/>
          <w:sz w:val="22"/>
          <w:szCs w:val="22"/>
        </w:rPr>
        <w:t>ranibizumab</w:t>
      </w:r>
      <w:proofErr w:type="spellEnd"/>
    </w:p>
    <w:p w14:paraId="2E8C0151" w14:textId="77777777" w:rsidR="006C28E9" w:rsidRPr="00305356" w:rsidRDefault="006C28E9" w:rsidP="006C28E9">
      <w:pPr>
        <w:pStyle w:val="Heading3"/>
      </w:pPr>
      <w:r w:rsidRPr="00305356">
        <w:rPr>
          <w:bCs/>
        </w:rPr>
        <w:t>Notes</w:t>
      </w:r>
    </w:p>
    <w:p w14:paraId="4B918BDB" w14:textId="6D8B926B" w:rsidR="006C28E9" w:rsidRDefault="00ED4E98" w:rsidP="00415ABE">
      <w:pPr>
        <w:pStyle w:val="NormalWeb"/>
        <w:numPr>
          <w:ilvl w:val="0"/>
          <w:numId w:val="3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w:t>
      </w:r>
      <w:r w:rsidR="006C28E9">
        <w:rPr>
          <w:rFonts w:ascii="Arial" w:hAnsi="Arial" w:cs="Arial"/>
          <w:color w:val="000000"/>
          <w:sz w:val="22"/>
          <w:szCs w:val="22"/>
        </w:rPr>
        <w:t>onsistent monthly dosing </w:t>
      </w:r>
      <w:r>
        <w:rPr>
          <w:rFonts w:ascii="Arial" w:hAnsi="Arial" w:cs="Arial"/>
          <w:color w:val="000000"/>
          <w:sz w:val="22"/>
          <w:szCs w:val="22"/>
        </w:rPr>
        <w:t>has been shown to have the most robust visual outcomes</w:t>
      </w:r>
    </w:p>
    <w:p w14:paraId="29AF2D2C" w14:textId="4F3FDDE5" w:rsidR="006C28E9" w:rsidRDefault="006C28E9" w:rsidP="00415ABE">
      <w:pPr>
        <w:pStyle w:val="NormalWeb"/>
        <w:numPr>
          <w:ilvl w:val="0"/>
          <w:numId w:val="3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Less frequent dosing has been shown to reduce retinal thickness and improve vision</w:t>
      </w:r>
    </w:p>
    <w:p w14:paraId="6CAFB362" w14:textId="180F2BE3" w:rsidR="00305356" w:rsidRDefault="006C28E9" w:rsidP="00415ABE">
      <w:pPr>
        <w:pStyle w:val="NormalWeb"/>
        <w:numPr>
          <w:ilvl w:val="0"/>
          <w:numId w:val="35"/>
        </w:numPr>
        <w:spacing w:before="0" w:beforeAutospacing="0" w:after="0" w:afterAutospacing="0"/>
        <w:textAlignment w:val="baseline"/>
        <w:rPr>
          <w:rFonts w:ascii="Arial" w:hAnsi="Arial" w:cs="Arial"/>
          <w:color w:val="000000"/>
          <w:sz w:val="22"/>
          <w:szCs w:val="22"/>
        </w:rPr>
      </w:pPr>
      <w:r w:rsidRPr="00305356">
        <w:rPr>
          <w:rFonts w:ascii="Arial" w:hAnsi="Arial" w:cs="Arial"/>
          <w:color w:val="000000"/>
          <w:sz w:val="22"/>
          <w:szCs w:val="22"/>
        </w:rPr>
        <w:t xml:space="preserve">Main </w:t>
      </w:r>
      <w:r w:rsidR="00ED4E98">
        <w:rPr>
          <w:rFonts w:ascii="Arial" w:hAnsi="Arial" w:cs="Arial"/>
          <w:color w:val="000000"/>
          <w:sz w:val="22"/>
          <w:szCs w:val="22"/>
        </w:rPr>
        <w:t>benefit of T/E strategy: lessens treatment burden for patients</w:t>
      </w:r>
    </w:p>
    <w:p w14:paraId="159C517E" w14:textId="77777777" w:rsidR="0058797A" w:rsidRDefault="0058797A" w:rsidP="0058797A">
      <w:pPr>
        <w:pStyle w:val="NormalWeb"/>
        <w:numPr>
          <w:ilvl w:val="0"/>
          <w:numId w:val="35"/>
        </w:numPr>
        <w:spacing w:before="0" w:beforeAutospacing="0" w:after="0" w:afterAutospacing="0"/>
      </w:pPr>
      <w:r>
        <w:rPr>
          <w:rFonts w:ascii="Arial" w:hAnsi="Arial" w:cs="Arial"/>
          <w:color w:val="000000"/>
          <w:sz w:val="22"/>
          <w:szCs w:val="22"/>
        </w:rPr>
        <w:t>T/E is a form of personalizing</w:t>
      </w:r>
      <w:r w:rsidRPr="005B2AF3">
        <w:rPr>
          <w:rFonts w:ascii="Arial" w:hAnsi="Arial" w:cs="Arial"/>
          <w:color w:val="000000"/>
          <w:sz w:val="22"/>
          <w:szCs w:val="22"/>
        </w:rPr>
        <w:t xml:space="preserve"> anti-VEGF dosing based on an individual’s clinical response</w:t>
      </w:r>
    </w:p>
    <w:p w14:paraId="28EF16B5" w14:textId="2DD5CB80" w:rsidR="0058797A" w:rsidRDefault="0058797A" w:rsidP="0058797A">
      <w:pPr>
        <w:pStyle w:val="NormalWeb"/>
        <w:numPr>
          <w:ilvl w:val="0"/>
          <w:numId w:val="35"/>
        </w:numPr>
        <w:spacing w:before="0" w:beforeAutospacing="0" w:after="0" w:afterAutospacing="0"/>
      </w:pPr>
      <w:r w:rsidRPr="005B2AF3">
        <w:rPr>
          <w:rFonts w:ascii="Arial" w:hAnsi="Arial" w:cs="Arial"/>
          <w:color w:val="000000"/>
          <w:sz w:val="22"/>
          <w:szCs w:val="22"/>
        </w:rPr>
        <w:t>T/E vs. PRN</w:t>
      </w:r>
      <w:r>
        <w:rPr>
          <w:rFonts w:ascii="Arial" w:hAnsi="Arial" w:cs="Arial"/>
          <w:color w:val="000000"/>
          <w:sz w:val="22"/>
          <w:szCs w:val="22"/>
        </w:rPr>
        <w:t xml:space="preserve"> dosing</w:t>
      </w:r>
    </w:p>
    <w:p w14:paraId="7746DF9D" w14:textId="77777777" w:rsidR="0058797A" w:rsidRDefault="0058797A" w:rsidP="0058797A">
      <w:pPr>
        <w:pStyle w:val="NormalWeb"/>
        <w:numPr>
          <w:ilvl w:val="1"/>
          <w:numId w:val="35"/>
        </w:numPr>
        <w:spacing w:before="0" w:beforeAutospacing="0" w:after="0" w:afterAutospacing="0"/>
      </w:pPr>
      <w:r w:rsidRPr="005B2AF3">
        <w:rPr>
          <w:rFonts w:ascii="Arial" w:hAnsi="Arial" w:cs="Arial"/>
          <w:color w:val="000000"/>
          <w:sz w:val="22"/>
          <w:szCs w:val="22"/>
        </w:rPr>
        <w:t>Advantages of T/E</w:t>
      </w:r>
    </w:p>
    <w:p w14:paraId="74FD7D46" w14:textId="77777777" w:rsidR="0058797A" w:rsidRDefault="0058797A" w:rsidP="0058797A">
      <w:pPr>
        <w:pStyle w:val="NormalWeb"/>
        <w:numPr>
          <w:ilvl w:val="2"/>
          <w:numId w:val="35"/>
        </w:numPr>
        <w:spacing w:before="0" w:beforeAutospacing="0" w:after="0" w:afterAutospacing="0"/>
      </w:pPr>
      <w:r w:rsidRPr="005B2AF3">
        <w:rPr>
          <w:rFonts w:ascii="Arial" w:hAnsi="Arial" w:cs="Arial"/>
          <w:color w:val="000000"/>
          <w:sz w:val="22"/>
          <w:szCs w:val="22"/>
        </w:rPr>
        <w:t>Fewer disease recurrences</w:t>
      </w:r>
    </w:p>
    <w:p w14:paraId="3BBBCE5B" w14:textId="77777777" w:rsidR="0058797A" w:rsidRDefault="0058797A" w:rsidP="0058797A">
      <w:pPr>
        <w:pStyle w:val="NormalWeb"/>
        <w:numPr>
          <w:ilvl w:val="2"/>
          <w:numId w:val="35"/>
        </w:numPr>
        <w:spacing w:before="0" w:beforeAutospacing="0" w:after="0" w:afterAutospacing="0"/>
      </w:pPr>
      <w:r w:rsidRPr="005B2AF3">
        <w:rPr>
          <w:rFonts w:ascii="Arial" w:hAnsi="Arial" w:cs="Arial"/>
          <w:color w:val="000000"/>
          <w:sz w:val="22"/>
          <w:szCs w:val="22"/>
        </w:rPr>
        <w:t>Better long-term visual outcomes and disease stability</w:t>
      </w:r>
    </w:p>
    <w:p w14:paraId="2EE85080" w14:textId="77777777" w:rsidR="0058797A" w:rsidRPr="00311391" w:rsidRDefault="0058797A" w:rsidP="0058797A">
      <w:pPr>
        <w:pStyle w:val="NormalWeb"/>
        <w:numPr>
          <w:ilvl w:val="2"/>
          <w:numId w:val="35"/>
        </w:numPr>
        <w:spacing w:before="0" w:beforeAutospacing="0" w:after="0" w:afterAutospacing="0"/>
      </w:pPr>
      <w:r>
        <w:rPr>
          <w:rFonts w:ascii="Arial" w:hAnsi="Arial" w:cs="Arial"/>
          <w:color w:val="000000"/>
          <w:sz w:val="22"/>
          <w:szCs w:val="22"/>
        </w:rPr>
        <w:t>Fewer patient visits</w:t>
      </w:r>
    </w:p>
    <w:p w14:paraId="2165175E" w14:textId="77777777" w:rsidR="0058797A" w:rsidRDefault="0058797A" w:rsidP="0058797A">
      <w:pPr>
        <w:pStyle w:val="NormalWeb"/>
        <w:numPr>
          <w:ilvl w:val="2"/>
          <w:numId w:val="35"/>
        </w:numPr>
        <w:spacing w:before="0" w:beforeAutospacing="0" w:after="0" w:afterAutospacing="0"/>
      </w:pPr>
      <w:r>
        <w:rPr>
          <w:rFonts w:ascii="Arial" w:hAnsi="Arial" w:cs="Arial"/>
          <w:color w:val="000000"/>
          <w:sz w:val="22"/>
          <w:szCs w:val="22"/>
        </w:rPr>
        <w:t>L</w:t>
      </w:r>
      <w:r w:rsidRPr="005B2AF3">
        <w:rPr>
          <w:rFonts w:ascii="Arial" w:hAnsi="Arial" w:cs="Arial"/>
          <w:color w:val="000000"/>
          <w:sz w:val="22"/>
          <w:szCs w:val="22"/>
        </w:rPr>
        <w:t>ower costs</w:t>
      </w:r>
    </w:p>
    <w:p w14:paraId="3E3E34F5" w14:textId="77777777" w:rsidR="0058797A" w:rsidRDefault="0058797A" w:rsidP="0058797A">
      <w:pPr>
        <w:pStyle w:val="NormalWeb"/>
        <w:numPr>
          <w:ilvl w:val="2"/>
          <w:numId w:val="35"/>
        </w:numPr>
        <w:spacing w:before="0" w:beforeAutospacing="0" w:after="0" w:afterAutospacing="0"/>
      </w:pPr>
      <w:r w:rsidRPr="005B2AF3">
        <w:rPr>
          <w:rFonts w:ascii="Arial" w:hAnsi="Arial" w:cs="Arial"/>
          <w:color w:val="000000"/>
          <w:sz w:val="22"/>
          <w:szCs w:val="22"/>
        </w:rPr>
        <w:t>More predictable injection workload</w:t>
      </w:r>
    </w:p>
    <w:p w14:paraId="7382839A" w14:textId="77777777" w:rsidR="0058797A" w:rsidRDefault="0058797A" w:rsidP="0058797A">
      <w:pPr>
        <w:pStyle w:val="NormalWeb"/>
        <w:numPr>
          <w:ilvl w:val="1"/>
          <w:numId w:val="35"/>
        </w:numPr>
        <w:spacing w:before="0" w:beforeAutospacing="0" w:after="0" w:afterAutospacing="0"/>
      </w:pPr>
      <w:r w:rsidRPr="005B2AF3">
        <w:rPr>
          <w:rFonts w:ascii="Arial" w:hAnsi="Arial" w:cs="Arial"/>
          <w:color w:val="000000"/>
          <w:sz w:val="22"/>
          <w:szCs w:val="22"/>
        </w:rPr>
        <w:t>Disadvantages of T/E</w:t>
      </w:r>
    </w:p>
    <w:p w14:paraId="70FF9AA9" w14:textId="77777777" w:rsidR="0058797A" w:rsidRDefault="0058797A" w:rsidP="0058797A">
      <w:pPr>
        <w:pStyle w:val="NormalWeb"/>
        <w:numPr>
          <w:ilvl w:val="2"/>
          <w:numId w:val="35"/>
        </w:numPr>
        <w:spacing w:before="0" w:beforeAutospacing="0" w:after="0" w:afterAutospacing="0"/>
      </w:pPr>
      <w:r w:rsidRPr="005B2AF3">
        <w:rPr>
          <w:rFonts w:ascii="Arial" w:hAnsi="Arial" w:cs="Arial"/>
          <w:color w:val="000000"/>
          <w:sz w:val="22"/>
          <w:szCs w:val="22"/>
        </w:rPr>
        <w:t>Possibility for overtreatment</w:t>
      </w:r>
    </w:p>
    <w:p w14:paraId="19135478" w14:textId="2963C664" w:rsidR="0058797A" w:rsidRPr="0058797A" w:rsidRDefault="0058797A" w:rsidP="0058797A">
      <w:pPr>
        <w:pStyle w:val="NormalWeb"/>
        <w:numPr>
          <w:ilvl w:val="2"/>
          <w:numId w:val="35"/>
        </w:numPr>
        <w:spacing w:before="0" w:beforeAutospacing="0" w:after="0" w:afterAutospacing="0"/>
      </w:pPr>
      <w:r w:rsidRPr="005B2AF3">
        <w:rPr>
          <w:rFonts w:ascii="Arial" w:hAnsi="Arial" w:cs="Arial"/>
          <w:color w:val="000000"/>
          <w:sz w:val="22"/>
          <w:szCs w:val="22"/>
        </w:rPr>
        <w:t>Inability to identify patient who may</w:t>
      </w:r>
      <w:r>
        <w:rPr>
          <w:rFonts w:ascii="Arial" w:hAnsi="Arial" w:cs="Arial"/>
          <w:color w:val="000000"/>
          <w:sz w:val="22"/>
          <w:szCs w:val="22"/>
        </w:rPr>
        <w:t xml:space="preserve"> remain stable without treatment</w:t>
      </w:r>
    </w:p>
    <w:p w14:paraId="0FC55DE1" w14:textId="3A8E0A1F" w:rsidR="00305356" w:rsidRDefault="006C28E9" w:rsidP="00415ABE">
      <w:pPr>
        <w:pStyle w:val="NormalWeb"/>
        <w:numPr>
          <w:ilvl w:val="0"/>
          <w:numId w:val="35"/>
        </w:numPr>
        <w:spacing w:before="0" w:beforeAutospacing="0" w:after="0" w:afterAutospacing="0"/>
        <w:textAlignment w:val="baseline"/>
        <w:rPr>
          <w:rFonts w:ascii="Arial" w:hAnsi="Arial" w:cs="Arial"/>
          <w:color w:val="000000"/>
          <w:sz w:val="22"/>
          <w:szCs w:val="22"/>
        </w:rPr>
      </w:pPr>
      <w:r w:rsidRPr="00305356">
        <w:rPr>
          <w:rFonts w:ascii="Arial" w:hAnsi="Arial" w:cs="Arial"/>
          <w:color w:val="000000"/>
          <w:sz w:val="22"/>
          <w:szCs w:val="22"/>
        </w:rPr>
        <w:t>Threshol</w:t>
      </w:r>
      <w:r w:rsidR="00ED4E98">
        <w:rPr>
          <w:rFonts w:ascii="Arial" w:hAnsi="Arial" w:cs="Arial"/>
          <w:color w:val="000000"/>
          <w:sz w:val="22"/>
          <w:szCs w:val="22"/>
        </w:rPr>
        <w:t>d for treatment extension in this study: 325 µ</w:t>
      </w:r>
      <w:r w:rsidRPr="00305356">
        <w:rPr>
          <w:rFonts w:ascii="Arial" w:hAnsi="Arial" w:cs="Arial"/>
          <w:color w:val="000000"/>
          <w:sz w:val="22"/>
          <w:szCs w:val="22"/>
        </w:rPr>
        <w:t>m</w:t>
      </w:r>
    </w:p>
    <w:p w14:paraId="0C137B82" w14:textId="77777777" w:rsidR="00305356" w:rsidRDefault="006C28E9" w:rsidP="00415ABE">
      <w:pPr>
        <w:pStyle w:val="NormalWeb"/>
        <w:numPr>
          <w:ilvl w:val="1"/>
          <w:numId w:val="35"/>
        </w:numPr>
        <w:spacing w:before="0" w:beforeAutospacing="0" w:after="0" w:afterAutospacing="0"/>
        <w:textAlignment w:val="baseline"/>
        <w:rPr>
          <w:rFonts w:ascii="Arial" w:hAnsi="Arial" w:cs="Arial"/>
          <w:color w:val="000000"/>
          <w:sz w:val="22"/>
          <w:szCs w:val="22"/>
        </w:rPr>
      </w:pPr>
      <w:r w:rsidRPr="00305356">
        <w:rPr>
          <w:rFonts w:ascii="Arial" w:hAnsi="Arial" w:cs="Arial"/>
          <w:color w:val="000000"/>
          <w:sz w:val="22"/>
          <w:szCs w:val="22"/>
        </w:rPr>
        <w:t>Considered near normal</w:t>
      </w:r>
    </w:p>
    <w:p w14:paraId="232FC1FF" w14:textId="433F8379" w:rsidR="0058797A" w:rsidRDefault="006C28E9" w:rsidP="0058797A">
      <w:pPr>
        <w:pStyle w:val="NormalWeb"/>
        <w:numPr>
          <w:ilvl w:val="0"/>
          <w:numId w:val="35"/>
        </w:numPr>
        <w:spacing w:before="0" w:beforeAutospacing="0" w:after="0" w:afterAutospacing="0"/>
        <w:textAlignment w:val="baseline"/>
        <w:rPr>
          <w:b/>
          <w:bCs/>
          <w:color w:val="000000"/>
        </w:rPr>
      </w:pPr>
      <w:r w:rsidRPr="00305356">
        <w:rPr>
          <w:rFonts w:ascii="Arial" w:hAnsi="Arial" w:cs="Arial"/>
          <w:color w:val="000000"/>
          <w:sz w:val="22"/>
          <w:szCs w:val="22"/>
        </w:rPr>
        <w:t>Some studies have sho</w:t>
      </w:r>
      <w:r w:rsidR="00ED4E98">
        <w:rPr>
          <w:rFonts w:ascii="Arial" w:hAnsi="Arial" w:cs="Arial"/>
          <w:color w:val="000000"/>
          <w:sz w:val="22"/>
          <w:szCs w:val="22"/>
        </w:rPr>
        <w:t>wn that normal CRT is ~270-290 µm</w:t>
      </w:r>
    </w:p>
    <w:p w14:paraId="76A39617" w14:textId="77777777" w:rsidR="0058797A" w:rsidRDefault="0058797A">
      <w:pPr>
        <w:rPr>
          <w:rFonts w:ascii="Times New Roman" w:eastAsia="Times New Roman" w:hAnsi="Times New Roman" w:cs="Times New Roman"/>
          <w:b/>
          <w:bCs/>
          <w:color w:val="000000"/>
          <w:sz w:val="24"/>
          <w:szCs w:val="24"/>
          <w:lang w:val="en-US"/>
        </w:rPr>
      </w:pPr>
      <w:r>
        <w:rPr>
          <w:b/>
          <w:bCs/>
          <w:color w:val="000000"/>
        </w:rPr>
        <w:br w:type="page"/>
      </w:r>
    </w:p>
    <w:p w14:paraId="6292E543" w14:textId="77777777" w:rsidR="0058797A" w:rsidRPr="0058797A" w:rsidRDefault="0058797A" w:rsidP="0058797A">
      <w:pPr>
        <w:pStyle w:val="Bibliography"/>
      </w:pPr>
      <w:r>
        <w:rPr>
          <w:color w:val="000000"/>
        </w:rPr>
        <w:lastRenderedPageBreak/>
        <w:fldChar w:fldCharType="begin"/>
      </w:r>
      <w:r>
        <w:rPr>
          <w:color w:val="000000"/>
        </w:rPr>
        <w:instrText xml:space="preserve"> ADDIN ZOTERO_BIBL {"uncited":[],"omitted":[],"custom":[]} CSL_BIBLIOGRAPHY </w:instrText>
      </w:r>
      <w:r>
        <w:rPr>
          <w:color w:val="000000"/>
        </w:rPr>
        <w:fldChar w:fldCharType="separate"/>
      </w:r>
      <w:r w:rsidRPr="0058797A">
        <w:t xml:space="preserve">1. </w:t>
      </w:r>
      <w:r w:rsidRPr="0058797A">
        <w:tab/>
        <w:t xml:space="preserve">Yu HJ, Ehlers JP, </w:t>
      </w:r>
      <w:proofErr w:type="spellStart"/>
      <w:r w:rsidRPr="0058797A">
        <w:t>Sevgi</w:t>
      </w:r>
      <w:proofErr w:type="spellEnd"/>
      <w:r w:rsidRPr="0058797A">
        <w:t xml:space="preserve"> DD, et al. Real-Time Photographic- and Fluorescein Angiographic-Guided Management of Diabetic Retinopathy: Randomized PRIME Trial Outcomes. </w:t>
      </w:r>
      <w:r w:rsidRPr="0058797A">
        <w:rPr>
          <w:i/>
          <w:iCs/>
        </w:rPr>
        <w:t>American Journal of Ophthalmology</w:t>
      </w:r>
      <w:r w:rsidRPr="0058797A">
        <w:t xml:space="preserve">. </w:t>
      </w:r>
      <w:proofErr w:type="gramStart"/>
      <w:r w:rsidRPr="0058797A">
        <w:t>2021;226:126</w:t>
      </w:r>
      <w:proofErr w:type="gramEnd"/>
      <w:r w:rsidRPr="0058797A">
        <w:t xml:space="preserve">-136. </w:t>
      </w:r>
      <w:proofErr w:type="gramStart"/>
      <w:r w:rsidRPr="0058797A">
        <w:t>doi:10.1016/j.ajo</w:t>
      </w:r>
      <w:proofErr w:type="gramEnd"/>
      <w:r w:rsidRPr="0058797A">
        <w:t>.2021.01.024</w:t>
      </w:r>
    </w:p>
    <w:p w14:paraId="38721FBF" w14:textId="77777777" w:rsidR="0058797A" w:rsidRPr="0058797A" w:rsidRDefault="0058797A" w:rsidP="0058797A">
      <w:pPr>
        <w:pStyle w:val="Bibliography"/>
      </w:pPr>
      <w:r w:rsidRPr="0058797A">
        <w:t xml:space="preserve">2. </w:t>
      </w:r>
      <w:r w:rsidRPr="0058797A">
        <w:tab/>
        <w:t xml:space="preserve">Yu HJ, Ehlers JP, </w:t>
      </w:r>
      <w:proofErr w:type="spellStart"/>
      <w:r w:rsidRPr="0058797A">
        <w:t>Sevgi</w:t>
      </w:r>
      <w:proofErr w:type="spellEnd"/>
      <w:r w:rsidRPr="0058797A">
        <w:t xml:space="preserve"> DD, et al. Real-Time Diabetic Retinopathy Severity Score Level versus Ultra-</w:t>
      </w:r>
      <w:proofErr w:type="spellStart"/>
      <w:r w:rsidRPr="0058797A">
        <w:t>Widefield</w:t>
      </w:r>
      <w:proofErr w:type="spellEnd"/>
      <w:r w:rsidRPr="0058797A">
        <w:t xml:space="preserve"> Leakage Index-Guided Management of Diabetic Retinopathy: Two-Year Outcomes from </w:t>
      </w:r>
      <w:proofErr w:type="gramStart"/>
      <w:r w:rsidRPr="0058797A">
        <w:t>the  Randomized</w:t>
      </w:r>
      <w:proofErr w:type="gramEnd"/>
      <w:r w:rsidRPr="0058797A">
        <w:t xml:space="preserve"> PRIME Trial. </w:t>
      </w:r>
      <w:r w:rsidRPr="0058797A">
        <w:rPr>
          <w:i/>
          <w:iCs/>
        </w:rPr>
        <w:t xml:space="preserve">J </w:t>
      </w:r>
      <w:proofErr w:type="spellStart"/>
      <w:r w:rsidRPr="0058797A">
        <w:rPr>
          <w:i/>
          <w:iCs/>
        </w:rPr>
        <w:t>Pers</w:t>
      </w:r>
      <w:proofErr w:type="spellEnd"/>
      <w:r w:rsidRPr="0058797A">
        <w:rPr>
          <w:i/>
          <w:iCs/>
        </w:rPr>
        <w:t xml:space="preserve"> Med</w:t>
      </w:r>
      <w:r w:rsidRPr="0058797A">
        <w:t>. 2021;11(9). doi:10.3390/jpm11090885</w:t>
      </w:r>
    </w:p>
    <w:p w14:paraId="0D38A527" w14:textId="77777777" w:rsidR="0058797A" w:rsidRPr="0058797A" w:rsidRDefault="0058797A" w:rsidP="0058797A">
      <w:pPr>
        <w:pStyle w:val="Bibliography"/>
      </w:pPr>
      <w:r w:rsidRPr="0058797A">
        <w:t xml:space="preserve">3. </w:t>
      </w:r>
      <w:r w:rsidRPr="0058797A">
        <w:tab/>
        <w:t xml:space="preserve">Fundus Photographic Risk Factors for Progression of Diabetic Retinopathy. </w:t>
      </w:r>
      <w:r w:rsidRPr="0058797A">
        <w:rPr>
          <w:i/>
          <w:iCs/>
        </w:rPr>
        <w:t>Ophthalmology</w:t>
      </w:r>
      <w:r w:rsidRPr="0058797A">
        <w:t>. 1991;98(5):823-833. doi:10.1016/S0161-6420(13)38014-2</w:t>
      </w:r>
    </w:p>
    <w:p w14:paraId="51247693" w14:textId="77777777" w:rsidR="0058797A" w:rsidRPr="0058797A" w:rsidRDefault="0058797A" w:rsidP="0058797A">
      <w:pPr>
        <w:pStyle w:val="Bibliography"/>
      </w:pPr>
      <w:r w:rsidRPr="0058797A">
        <w:t xml:space="preserve">4. </w:t>
      </w:r>
      <w:r w:rsidRPr="0058797A">
        <w:tab/>
        <w:t xml:space="preserve">Payne JF, Wykoff CC, Clark WL, Bruce BB, Boyer DS, Brown DM. Randomized Trial of Treat and Extend </w:t>
      </w:r>
      <w:proofErr w:type="spellStart"/>
      <w:r w:rsidRPr="0058797A">
        <w:t>Ranibizumab</w:t>
      </w:r>
      <w:proofErr w:type="spellEnd"/>
      <w:r w:rsidRPr="0058797A">
        <w:t xml:space="preserve"> with and without Navigated Laser for Diabetic Macular Edema. </w:t>
      </w:r>
      <w:r w:rsidRPr="0058797A">
        <w:rPr>
          <w:i/>
          <w:iCs/>
        </w:rPr>
        <w:t>Ophthalmology</w:t>
      </w:r>
      <w:r w:rsidRPr="0058797A">
        <w:t xml:space="preserve">. 2017;124(1):74-81. </w:t>
      </w:r>
      <w:proofErr w:type="gramStart"/>
      <w:r w:rsidRPr="0058797A">
        <w:t>doi:10.1016/j.ophtha</w:t>
      </w:r>
      <w:proofErr w:type="gramEnd"/>
      <w:r w:rsidRPr="0058797A">
        <w:t>.2016.09.021</w:t>
      </w:r>
    </w:p>
    <w:p w14:paraId="7EE5C216" w14:textId="77777777" w:rsidR="0058797A" w:rsidRPr="0058797A" w:rsidRDefault="0058797A" w:rsidP="0058797A">
      <w:pPr>
        <w:pStyle w:val="Bibliography"/>
      </w:pPr>
      <w:r w:rsidRPr="0058797A">
        <w:t xml:space="preserve">5. </w:t>
      </w:r>
      <w:r w:rsidRPr="0058797A">
        <w:tab/>
        <w:t xml:space="preserve">Payne JF, Wykoff CC, Clark WL, et al. Randomized Trial of Treat and Extend </w:t>
      </w:r>
      <w:proofErr w:type="spellStart"/>
      <w:r w:rsidRPr="0058797A">
        <w:t>Ranibizumab</w:t>
      </w:r>
      <w:proofErr w:type="spellEnd"/>
      <w:r w:rsidRPr="0058797A">
        <w:t xml:space="preserve"> </w:t>
      </w:r>
      <w:proofErr w:type="gramStart"/>
      <w:r w:rsidRPr="0058797A">
        <w:t>With</w:t>
      </w:r>
      <w:proofErr w:type="gramEnd"/>
      <w:r w:rsidRPr="0058797A">
        <w:t xml:space="preserve"> and Without Navigated Laser Versus Monthly Dosing for Diabetic Macular Edema: TREX-DME 2-Year Outcomes. </w:t>
      </w:r>
      <w:r w:rsidRPr="0058797A">
        <w:rPr>
          <w:i/>
          <w:iCs/>
        </w:rPr>
        <w:t>American Journal of Ophthalmology</w:t>
      </w:r>
      <w:r w:rsidRPr="0058797A">
        <w:t xml:space="preserve">. </w:t>
      </w:r>
      <w:proofErr w:type="gramStart"/>
      <w:r w:rsidRPr="0058797A">
        <w:t>2019;202:91</w:t>
      </w:r>
      <w:proofErr w:type="gramEnd"/>
      <w:r w:rsidRPr="0058797A">
        <w:t xml:space="preserve">-99. </w:t>
      </w:r>
      <w:proofErr w:type="gramStart"/>
      <w:r w:rsidRPr="0058797A">
        <w:t>doi:10.1016/j.ajo</w:t>
      </w:r>
      <w:proofErr w:type="gramEnd"/>
      <w:r w:rsidRPr="0058797A">
        <w:t>.2019.02.005</w:t>
      </w:r>
    </w:p>
    <w:p w14:paraId="4F53BA48" w14:textId="77777777" w:rsidR="0058797A" w:rsidRPr="0058797A" w:rsidRDefault="0058797A" w:rsidP="0058797A">
      <w:pPr>
        <w:pStyle w:val="Bibliography"/>
      </w:pPr>
      <w:r w:rsidRPr="0058797A">
        <w:t xml:space="preserve">6. </w:t>
      </w:r>
      <w:r w:rsidRPr="0058797A">
        <w:tab/>
        <w:t xml:space="preserve">Payne JF, Wykoff CC, Clark WL, Bruce BB, Boyer DS, Brown DM. Long-term outcomes of treat-and-extend </w:t>
      </w:r>
      <w:proofErr w:type="spellStart"/>
      <w:r w:rsidRPr="0058797A">
        <w:t>ranibizumab</w:t>
      </w:r>
      <w:proofErr w:type="spellEnd"/>
      <w:r w:rsidRPr="0058797A">
        <w:t xml:space="preserve"> with and without navigated laser for diabetic macular </w:t>
      </w:r>
      <w:proofErr w:type="spellStart"/>
      <w:r w:rsidRPr="0058797A">
        <w:t>oedema</w:t>
      </w:r>
      <w:proofErr w:type="spellEnd"/>
      <w:r w:rsidRPr="0058797A">
        <w:t xml:space="preserve">: TREX-DME 3-year results. </w:t>
      </w:r>
      <w:r w:rsidRPr="0058797A">
        <w:rPr>
          <w:i/>
          <w:iCs/>
        </w:rPr>
        <w:t xml:space="preserve">Br J </w:t>
      </w:r>
      <w:proofErr w:type="spellStart"/>
      <w:r w:rsidRPr="0058797A">
        <w:rPr>
          <w:i/>
          <w:iCs/>
        </w:rPr>
        <w:t>Ophthalmol</w:t>
      </w:r>
      <w:proofErr w:type="spellEnd"/>
      <w:r w:rsidRPr="0058797A">
        <w:t>. 2021;105(2):253-257. doi:10.1136/bjophthalmol-2020-316176</w:t>
      </w:r>
    </w:p>
    <w:p w14:paraId="566030DD" w14:textId="53804F84" w:rsidR="0058797A" w:rsidRPr="0058797A" w:rsidRDefault="0058797A" w:rsidP="0058797A">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fldChar w:fldCharType="end"/>
      </w:r>
    </w:p>
    <w:p w14:paraId="667A379B" w14:textId="2002E2AB" w:rsidR="0058797A" w:rsidRPr="0058797A" w:rsidRDefault="0058797A" w:rsidP="0058797A">
      <w:pPr>
        <w:rPr>
          <w:rFonts w:eastAsia="Times New Roman"/>
          <w:color w:val="000000"/>
          <w:lang w:val="en-US"/>
        </w:rPr>
      </w:pPr>
    </w:p>
    <w:sectPr w:rsidR="0058797A" w:rsidRPr="0058797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F3C5D"/>
    <w:multiLevelType w:val="hybridMultilevel"/>
    <w:tmpl w:val="F1249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86798"/>
    <w:multiLevelType w:val="multilevel"/>
    <w:tmpl w:val="DC4A8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D05164"/>
    <w:multiLevelType w:val="multilevel"/>
    <w:tmpl w:val="4C68C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C16742"/>
    <w:multiLevelType w:val="hybridMultilevel"/>
    <w:tmpl w:val="E7A2C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08168A"/>
    <w:multiLevelType w:val="multilevel"/>
    <w:tmpl w:val="E4869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4A70FF"/>
    <w:multiLevelType w:val="multilevel"/>
    <w:tmpl w:val="633C7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F1670A1"/>
    <w:multiLevelType w:val="multilevel"/>
    <w:tmpl w:val="4DA2A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18C53D5"/>
    <w:multiLevelType w:val="multilevel"/>
    <w:tmpl w:val="AB9AD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4AD53A1"/>
    <w:multiLevelType w:val="multilevel"/>
    <w:tmpl w:val="01A2E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62B17CF"/>
    <w:multiLevelType w:val="multilevel"/>
    <w:tmpl w:val="13E23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AF796D"/>
    <w:multiLevelType w:val="multilevel"/>
    <w:tmpl w:val="53FEC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6DC2866"/>
    <w:multiLevelType w:val="multilevel"/>
    <w:tmpl w:val="1D464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78E4A54"/>
    <w:multiLevelType w:val="multilevel"/>
    <w:tmpl w:val="7644973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1A88119D"/>
    <w:multiLevelType w:val="multilevel"/>
    <w:tmpl w:val="B0645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2567361"/>
    <w:multiLevelType w:val="multilevel"/>
    <w:tmpl w:val="51744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1F3C9C"/>
    <w:multiLevelType w:val="multilevel"/>
    <w:tmpl w:val="CDFC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BF750F"/>
    <w:multiLevelType w:val="hybridMultilevel"/>
    <w:tmpl w:val="022EF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434CB6"/>
    <w:multiLevelType w:val="multilevel"/>
    <w:tmpl w:val="5E8819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B5879BE"/>
    <w:multiLevelType w:val="multilevel"/>
    <w:tmpl w:val="8EF60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421D8C"/>
    <w:multiLevelType w:val="multilevel"/>
    <w:tmpl w:val="60BED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1B2496F"/>
    <w:multiLevelType w:val="hybridMultilevel"/>
    <w:tmpl w:val="7E88C7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4345C7"/>
    <w:multiLevelType w:val="multilevel"/>
    <w:tmpl w:val="439E75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7667992"/>
    <w:multiLevelType w:val="multilevel"/>
    <w:tmpl w:val="3D0454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9BE69BD"/>
    <w:multiLevelType w:val="multilevel"/>
    <w:tmpl w:val="68B67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A465187"/>
    <w:multiLevelType w:val="multilevel"/>
    <w:tmpl w:val="C17426D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15:restartNumberingAfterBreak="0">
    <w:nsid w:val="3B4C0E15"/>
    <w:multiLevelType w:val="multilevel"/>
    <w:tmpl w:val="E218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C953C9"/>
    <w:multiLevelType w:val="hybridMultilevel"/>
    <w:tmpl w:val="6F4E8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5079AD"/>
    <w:multiLevelType w:val="multilevel"/>
    <w:tmpl w:val="43301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3C105CA"/>
    <w:multiLevelType w:val="hybridMultilevel"/>
    <w:tmpl w:val="705AA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0A0279"/>
    <w:multiLevelType w:val="multilevel"/>
    <w:tmpl w:val="FE78F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84C4676"/>
    <w:multiLevelType w:val="multilevel"/>
    <w:tmpl w:val="BDCE03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87D2FDB"/>
    <w:multiLevelType w:val="multilevel"/>
    <w:tmpl w:val="40B4A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8E24E7B"/>
    <w:multiLevelType w:val="multilevel"/>
    <w:tmpl w:val="1352B5A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15:restartNumberingAfterBreak="0">
    <w:nsid w:val="4C3D0DB9"/>
    <w:multiLevelType w:val="multilevel"/>
    <w:tmpl w:val="63649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CF4406"/>
    <w:multiLevelType w:val="hybridMultilevel"/>
    <w:tmpl w:val="C42EB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A82697"/>
    <w:multiLevelType w:val="multilevel"/>
    <w:tmpl w:val="6B7293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600061E"/>
    <w:multiLevelType w:val="hybridMultilevel"/>
    <w:tmpl w:val="BB785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B4E0DED"/>
    <w:multiLevelType w:val="multilevel"/>
    <w:tmpl w:val="F57E7A9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8" w15:restartNumberingAfterBreak="0">
    <w:nsid w:val="5F5B667B"/>
    <w:multiLevelType w:val="multilevel"/>
    <w:tmpl w:val="7012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EE057C"/>
    <w:multiLevelType w:val="multilevel"/>
    <w:tmpl w:val="11924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3335D28"/>
    <w:multiLevelType w:val="hybridMultilevel"/>
    <w:tmpl w:val="29502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0016D1"/>
    <w:multiLevelType w:val="multilevel"/>
    <w:tmpl w:val="0C80E7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DF93154"/>
    <w:multiLevelType w:val="multilevel"/>
    <w:tmpl w:val="3C0A9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A26ADA"/>
    <w:multiLevelType w:val="multilevel"/>
    <w:tmpl w:val="01C091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F5A7ABC"/>
    <w:multiLevelType w:val="multilevel"/>
    <w:tmpl w:val="9C782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39"/>
  </w:num>
  <w:num w:numId="3">
    <w:abstractNumId w:val="43"/>
  </w:num>
  <w:num w:numId="4">
    <w:abstractNumId w:val="31"/>
  </w:num>
  <w:num w:numId="5">
    <w:abstractNumId w:val="6"/>
  </w:num>
  <w:num w:numId="6">
    <w:abstractNumId w:val="7"/>
  </w:num>
  <w:num w:numId="7">
    <w:abstractNumId w:val="12"/>
  </w:num>
  <w:num w:numId="8">
    <w:abstractNumId w:val="1"/>
  </w:num>
  <w:num w:numId="9">
    <w:abstractNumId w:val="21"/>
  </w:num>
  <w:num w:numId="10">
    <w:abstractNumId w:val="8"/>
  </w:num>
  <w:num w:numId="11">
    <w:abstractNumId w:val="22"/>
  </w:num>
  <w:num w:numId="12">
    <w:abstractNumId w:val="41"/>
  </w:num>
  <w:num w:numId="13">
    <w:abstractNumId w:val="17"/>
  </w:num>
  <w:num w:numId="14">
    <w:abstractNumId w:val="2"/>
  </w:num>
  <w:num w:numId="15">
    <w:abstractNumId w:val="35"/>
  </w:num>
  <w:num w:numId="16">
    <w:abstractNumId w:val="37"/>
  </w:num>
  <w:num w:numId="17">
    <w:abstractNumId w:val="11"/>
  </w:num>
  <w:num w:numId="18">
    <w:abstractNumId w:val="30"/>
  </w:num>
  <w:num w:numId="19">
    <w:abstractNumId w:val="13"/>
  </w:num>
  <w:num w:numId="20">
    <w:abstractNumId w:val="10"/>
  </w:num>
  <w:num w:numId="21">
    <w:abstractNumId w:val="24"/>
  </w:num>
  <w:num w:numId="22">
    <w:abstractNumId w:val="19"/>
  </w:num>
  <w:num w:numId="23">
    <w:abstractNumId w:val="27"/>
  </w:num>
  <w:num w:numId="24">
    <w:abstractNumId w:val="23"/>
  </w:num>
  <w:num w:numId="25">
    <w:abstractNumId w:val="29"/>
  </w:num>
  <w:num w:numId="26">
    <w:abstractNumId w:val="5"/>
  </w:num>
  <w:num w:numId="27">
    <w:abstractNumId w:val="15"/>
  </w:num>
  <w:num w:numId="28">
    <w:abstractNumId w:val="18"/>
  </w:num>
  <w:num w:numId="29">
    <w:abstractNumId w:val="38"/>
  </w:num>
  <w:num w:numId="30">
    <w:abstractNumId w:val="4"/>
  </w:num>
  <w:num w:numId="31">
    <w:abstractNumId w:val="42"/>
  </w:num>
  <w:num w:numId="32">
    <w:abstractNumId w:val="9"/>
  </w:num>
  <w:num w:numId="33">
    <w:abstractNumId w:val="25"/>
  </w:num>
  <w:num w:numId="34">
    <w:abstractNumId w:val="14"/>
  </w:num>
  <w:num w:numId="35">
    <w:abstractNumId w:val="33"/>
  </w:num>
  <w:num w:numId="36">
    <w:abstractNumId w:val="44"/>
  </w:num>
  <w:num w:numId="37">
    <w:abstractNumId w:val="34"/>
  </w:num>
  <w:num w:numId="38">
    <w:abstractNumId w:val="26"/>
  </w:num>
  <w:num w:numId="39">
    <w:abstractNumId w:val="36"/>
  </w:num>
  <w:num w:numId="40">
    <w:abstractNumId w:val="28"/>
  </w:num>
  <w:num w:numId="41">
    <w:abstractNumId w:val="0"/>
  </w:num>
  <w:num w:numId="42">
    <w:abstractNumId w:val="20"/>
  </w:num>
  <w:num w:numId="43">
    <w:abstractNumId w:val="40"/>
  </w:num>
  <w:num w:numId="44">
    <w:abstractNumId w:val="16"/>
  </w:num>
  <w:num w:numId="45">
    <w:abstractNumId w:val="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tDQ3sLQwMDcwNzQwNjZV0lEKTi0uzszPAykwrgUAiNyf+SwAAAA="/>
  </w:docVars>
  <w:rsids>
    <w:rsidRoot w:val="00802B75"/>
    <w:rsid w:val="000144CD"/>
    <w:rsid w:val="00040C76"/>
    <w:rsid w:val="0007215B"/>
    <w:rsid w:val="0008044E"/>
    <w:rsid w:val="00086A16"/>
    <w:rsid w:val="0009359D"/>
    <w:rsid w:val="000A799E"/>
    <w:rsid w:val="001E5BCC"/>
    <w:rsid w:val="001F5588"/>
    <w:rsid w:val="001F7420"/>
    <w:rsid w:val="0023637D"/>
    <w:rsid w:val="00305356"/>
    <w:rsid w:val="00311391"/>
    <w:rsid w:val="00411195"/>
    <w:rsid w:val="00415ABE"/>
    <w:rsid w:val="004F2C15"/>
    <w:rsid w:val="004F5D86"/>
    <w:rsid w:val="00505D89"/>
    <w:rsid w:val="00542F66"/>
    <w:rsid w:val="0058797A"/>
    <w:rsid w:val="005B2AF3"/>
    <w:rsid w:val="005F70BA"/>
    <w:rsid w:val="006437C3"/>
    <w:rsid w:val="006834D8"/>
    <w:rsid w:val="00690949"/>
    <w:rsid w:val="006C28E9"/>
    <w:rsid w:val="006C35F5"/>
    <w:rsid w:val="006C7233"/>
    <w:rsid w:val="006D110D"/>
    <w:rsid w:val="007637DE"/>
    <w:rsid w:val="007A7FAB"/>
    <w:rsid w:val="00802B75"/>
    <w:rsid w:val="00805485"/>
    <w:rsid w:val="00817D7C"/>
    <w:rsid w:val="00867D3A"/>
    <w:rsid w:val="008D2AE3"/>
    <w:rsid w:val="00A40358"/>
    <w:rsid w:val="00A81B8C"/>
    <w:rsid w:val="00A821C4"/>
    <w:rsid w:val="00B40100"/>
    <w:rsid w:val="00BD5D03"/>
    <w:rsid w:val="00C13279"/>
    <w:rsid w:val="00C16B61"/>
    <w:rsid w:val="00CB56C8"/>
    <w:rsid w:val="00CC48C6"/>
    <w:rsid w:val="00CF69D3"/>
    <w:rsid w:val="00DF2260"/>
    <w:rsid w:val="00DF505A"/>
    <w:rsid w:val="00ED4E98"/>
    <w:rsid w:val="00EE63AB"/>
    <w:rsid w:val="00F17AE4"/>
    <w:rsid w:val="00F23068"/>
    <w:rsid w:val="00F36781"/>
    <w:rsid w:val="00F41E1E"/>
    <w:rsid w:val="00FC2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DF96E"/>
  <w15:docId w15:val="{A702E7D7-9B6B-47A7-AAAD-69B1AD053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6C28E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4F5D86"/>
    <w:rPr>
      <w:sz w:val="16"/>
      <w:szCs w:val="16"/>
    </w:rPr>
  </w:style>
  <w:style w:type="paragraph" w:styleId="CommentText">
    <w:name w:val="annotation text"/>
    <w:basedOn w:val="Normal"/>
    <w:link w:val="CommentTextChar"/>
    <w:uiPriority w:val="99"/>
    <w:semiHidden/>
    <w:unhideWhenUsed/>
    <w:rsid w:val="004F5D86"/>
    <w:pPr>
      <w:spacing w:line="240" w:lineRule="auto"/>
    </w:pPr>
    <w:rPr>
      <w:sz w:val="20"/>
      <w:szCs w:val="20"/>
    </w:rPr>
  </w:style>
  <w:style w:type="character" w:customStyle="1" w:styleId="CommentTextChar">
    <w:name w:val="Comment Text Char"/>
    <w:basedOn w:val="DefaultParagraphFont"/>
    <w:link w:val="CommentText"/>
    <w:uiPriority w:val="99"/>
    <w:semiHidden/>
    <w:rsid w:val="004F5D86"/>
    <w:rPr>
      <w:sz w:val="20"/>
      <w:szCs w:val="20"/>
    </w:rPr>
  </w:style>
  <w:style w:type="paragraph" w:styleId="CommentSubject">
    <w:name w:val="annotation subject"/>
    <w:basedOn w:val="CommentText"/>
    <w:next w:val="CommentText"/>
    <w:link w:val="CommentSubjectChar"/>
    <w:uiPriority w:val="99"/>
    <w:semiHidden/>
    <w:unhideWhenUsed/>
    <w:rsid w:val="004F5D86"/>
    <w:rPr>
      <w:b/>
      <w:bCs/>
    </w:rPr>
  </w:style>
  <w:style w:type="character" w:customStyle="1" w:styleId="CommentSubjectChar">
    <w:name w:val="Comment Subject Char"/>
    <w:basedOn w:val="CommentTextChar"/>
    <w:link w:val="CommentSubject"/>
    <w:uiPriority w:val="99"/>
    <w:semiHidden/>
    <w:rsid w:val="004F5D86"/>
    <w:rPr>
      <w:b/>
      <w:bCs/>
      <w:sz w:val="20"/>
      <w:szCs w:val="20"/>
    </w:rPr>
  </w:style>
  <w:style w:type="paragraph" w:styleId="BalloonText">
    <w:name w:val="Balloon Text"/>
    <w:basedOn w:val="Normal"/>
    <w:link w:val="BalloonTextChar"/>
    <w:uiPriority w:val="99"/>
    <w:semiHidden/>
    <w:unhideWhenUsed/>
    <w:rsid w:val="004F5D8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5D86"/>
    <w:rPr>
      <w:rFonts w:ascii="Segoe UI" w:hAnsi="Segoe UI" w:cs="Segoe UI"/>
      <w:sz w:val="18"/>
      <w:szCs w:val="18"/>
    </w:rPr>
  </w:style>
  <w:style w:type="paragraph" w:styleId="ListParagraph">
    <w:name w:val="List Paragraph"/>
    <w:basedOn w:val="Normal"/>
    <w:uiPriority w:val="34"/>
    <w:qFormat/>
    <w:rsid w:val="00A81B8C"/>
    <w:pPr>
      <w:ind w:left="720"/>
      <w:contextualSpacing/>
    </w:pPr>
  </w:style>
  <w:style w:type="paragraph" w:styleId="Bibliography">
    <w:name w:val="Bibliography"/>
    <w:basedOn w:val="Normal"/>
    <w:next w:val="Normal"/>
    <w:uiPriority w:val="37"/>
    <w:unhideWhenUsed/>
    <w:rsid w:val="0058797A"/>
    <w:pPr>
      <w:tabs>
        <w:tab w:val="left" w:pos="384"/>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130700">
      <w:bodyDiv w:val="1"/>
      <w:marLeft w:val="0"/>
      <w:marRight w:val="0"/>
      <w:marTop w:val="0"/>
      <w:marBottom w:val="0"/>
      <w:divBdr>
        <w:top w:val="none" w:sz="0" w:space="0" w:color="auto"/>
        <w:left w:val="none" w:sz="0" w:space="0" w:color="auto"/>
        <w:bottom w:val="none" w:sz="0" w:space="0" w:color="auto"/>
        <w:right w:val="none" w:sz="0" w:space="0" w:color="auto"/>
      </w:divBdr>
    </w:div>
    <w:div w:id="1190726966">
      <w:bodyDiv w:val="1"/>
      <w:marLeft w:val="0"/>
      <w:marRight w:val="0"/>
      <w:marTop w:val="0"/>
      <w:marBottom w:val="0"/>
      <w:divBdr>
        <w:top w:val="none" w:sz="0" w:space="0" w:color="auto"/>
        <w:left w:val="none" w:sz="0" w:space="0" w:color="auto"/>
        <w:bottom w:val="none" w:sz="0" w:space="0" w:color="auto"/>
        <w:right w:val="none" w:sz="0" w:space="0" w:color="auto"/>
      </w:divBdr>
    </w:div>
    <w:div w:id="1375277219">
      <w:bodyDiv w:val="1"/>
      <w:marLeft w:val="0"/>
      <w:marRight w:val="0"/>
      <w:marTop w:val="0"/>
      <w:marBottom w:val="0"/>
      <w:divBdr>
        <w:top w:val="none" w:sz="0" w:space="0" w:color="auto"/>
        <w:left w:val="none" w:sz="0" w:space="0" w:color="auto"/>
        <w:bottom w:val="none" w:sz="0" w:space="0" w:color="auto"/>
        <w:right w:val="none" w:sz="0" w:space="0" w:color="auto"/>
      </w:divBdr>
    </w:div>
    <w:div w:id="1527676491">
      <w:bodyDiv w:val="1"/>
      <w:marLeft w:val="0"/>
      <w:marRight w:val="0"/>
      <w:marTop w:val="0"/>
      <w:marBottom w:val="0"/>
      <w:divBdr>
        <w:top w:val="none" w:sz="0" w:space="0" w:color="auto"/>
        <w:left w:val="none" w:sz="0" w:space="0" w:color="auto"/>
        <w:bottom w:val="none" w:sz="0" w:space="0" w:color="auto"/>
        <w:right w:val="none" w:sz="0" w:space="0" w:color="auto"/>
      </w:divBdr>
    </w:div>
    <w:div w:id="1677728079">
      <w:bodyDiv w:val="1"/>
      <w:marLeft w:val="0"/>
      <w:marRight w:val="0"/>
      <w:marTop w:val="0"/>
      <w:marBottom w:val="0"/>
      <w:divBdr>
        <w:top w:val="none" w:sz="0" w:space="0" w:color="auto"/>
        <w:left w:val="none" w:sz="0" w:space="0" w:color="auto"/>
        <w:bottom w:val="none" w:sz="0" w:space="0" w:color="auto"/>
        <w:right w:val="none" w:sz="0" w:space="0" w:color="auto"/>
      </w:divBdr>
    </w:div>
    <w:div w:id="19898945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BD793-48FD-4C88-BE3A-B467996FC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836</TotalTime>
  <Pages>12</Pages>
  <Words>4108</Words>
  <Characters>23416</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Stephanie Trejo</cp:lastModifiedBy>
  <cp:revision>24</cp:revision>
  <dcterms:created xsi:type="dcterms:W3CDTF">2021-06-14T15:41:00Z</dcterms:created>
  <dcterms:modified xsi:type="dcterms:W3CDTF">2022-06-16T14:48:00Z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id="x4syjYyI"/&gt;&lt;style id="http://www.zotero.org/styles/american-medical-association" hasBibliography="1" bibliographyStyleHasBeenSet="1"/&gt;&lt;prefs&gt;&lt;pref name="fieldType" value="Field"/&gt;&lt;/prefs&gt;&lt;/data&gt;</vt:lpwstr>
  </property>
</Properties>
</file>