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Sprint Retrospective</w:t>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pPr>
              <w:jc w:val="center"/>
            </w:pPr>
            <w:r>
              <w:rPr>
                <w:b/>
              </w:rPr>
              <w:t>Saad (Developer)</w:t>
            </w:r>
          </w:p>
        </w:tc>
      </w:tr>
      <w:tr>
        <w:tc>
          <w:tcPr>
            <w:tcW w:type="dxa" w:w="4320"/>
          </w:tcPr>
          <w:p>
            <w:r>
              <w:rPr>
                <w:b/>
              </w:rPr>
              <w:t>What went well in the sprint</w:t>
            </w:r>
          </w:p>
        </w:tc>
        <w:tc>
          <w:tcPr>
            <w:tcW w:type="dxa" w:w="4320"/>
          </w:tcPr>
          <w:p>
            <w:r>
              <w:t>The adoption of a unified 'Full Stack' debugging workflow was a major technical win; it allowed us to spin up both the Frontend and Backend services with a single click, reducing daily setup time. Additionally, the modular approach to the 'NotificationService' meant we could implement features rapidly without worrying about breaking existing functionality.</w:t>
            </w:r>
          </w:p>
        </w:tc>
      </w:tr>
      <w:tr>
        <w:tc>
          <w:tcPr>
            <w:tcW w:type="dxa" w:w="4320"/>
          </w:tcPr>
          <w:p>
            <w:r>
              <w:rPr>
                <w:b/>
              </w:rPr>
              <w:t>What went wrong in the sprint</w:t>
            </w:r>
          </w:p>
        </w:tc>
        <w:tc>
          <w:tcPr>
            <w:tcW w:type="dxa" w:w="4320"/>
          </w:tcPr>
          <w:p>
            <w:r>
              <w:t>The local development environment proved to be extremely resource-intensive. Running Android Emulators alongside the backend server caused significant input lag and long build times, which hampered my ability to 'code and verify' quickly. There was also some ambiguity in the form validation logic early on, leading to unnecessary code rework.</w:t>
            </w:r>
          </w:p>
        </w:tc>
      </w:tr>
      <w:tr>
        <w:tc>
          <w:tcPr>
            <w:tcW w:type="dxa" w:w="4320"/>
          </w:tcPr>
          <w:p>
            <w:r>
              <w:rPr>
                <w:b/>
              </w:rPr>
              <w:t>What we commit to improve in the next sprint</w:t>
            </w:r>
          </w:p>
        </w:tc>
        <w:tc>
          <w:tcPr>
            <w:tcW w:type="dxa" w:w="4320"/>
          </w:tcPr>
          <w:p>
            <w:r>
              <w:t>I commit to optimizing the development workflow by using physical devices for testing instead of heavy emulators to improve performance. Additionally, I will ensure that all API contracts and field validation rules are explicitly defined and agreed upon before writing the implementation code to avoid future rework.</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