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2F4B7C"/>
          <w:sz w:val="40"/>
          <w:szCs w:val="40"/>
        </w:rPr>
        <w:t xml:space="preserve">Earnings Surprise (PEAD)</w:t>
      </w:r>
    </w:p>
    <w:p>
      <w:pPr>
        <w:pBdr>
          <w:bottom w:val="single" w:color="2F4B7C" w:sz="8" w:space="6"/>
        </w:pBdr>
        <w:spacing w:after="24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Lectura de los resultados de la versión 5 del notebook (Capítulo 9)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Conclusión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Con la v5, el resultado es más claro que con la v4: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 este universo no se detecta efecto PEAD</w:t>
      </w:r>
      <w:r>
        <w:rPr>
          <w:rFonts w:ascii="Arial" w:cs="Arial" w:eastAsia="Arial" w:hAnsi="Arial"/>
          <w:sz w:val="22"/>
          <w:szCs w:val="22"/>
        </w:rPr>
        <w:t xml:space="preserve">. Lo que se observa es una cesta de mega-caps con buen perfil de riesgo, y la señal casi no aporta.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1. Qué dicen los tres tests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Estudio de eventos. </w:t>
      </w:r>
      <w:r>
        <w:rPr>
          <w:rFonts w:ascii="Arial" w:cs="Arial" w:eastAsia="Arial" w:hAnsi="Arial"/>
          <w:sz w:val="22"/>
          <w:szCs w:val="22"/>
        </w:rPr>
        <w:t xml:space="preserve">El exceso extra (el del evento menos el exceso normal de esa misma acción) va de +0,10% a +0,34%, con t-stats de entre 0,3 y 1,3. Todos son poco significativos, y eso que el t-stat sobrestima por la agrupación de eventos. Tampoco hay forma de drift: no se concentra en los primeros horizontes ni crece de forma ordenada.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2000"/>
        <w:gridCol w:w="1526"/>
        <w:gridCol w:w="12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Horizonte (sesiones)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Exceso del evento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Exceso normal de la acción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Exceso extra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t-stat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0,37%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0,15%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0,22%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1,25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0,56%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0,30%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0,26%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1,13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0,71%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0,61%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0,34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1,53%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1,26%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0,27%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0,66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2,30%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1,96%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0,34%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0,63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1. Exceso sobre SPY desde el cierre del día de entrada. Exceso extra = exceso del evento − exceso medio de esa acción en cualquier fecha.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60 sesiones, el evento rinde +2,30% sobre SPY y las mismas acciones rinden +1,96% en cualquier fecha. Es decir,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cerca del 85% del exceso aparente viene del universo y solo el 15% de la señal</w:t>
      </w:r>
      <w:r>
        <w:rPr>
          <w:rFonts w:ascii="Arial" w:cs="Arial" w:eastAsia="Arial" w:hAnsi="Arial"/>
          <w:sz w:val="22"/>
          <w:szCs w:val="22"/>
        </w:rPr>
        <w:t xml:space="preserve">. Ese 1,96% por 60 sesiones equivale a un 8% anual sobre SPY: es el sesgo de supervivencia hecho número.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Placebo corregido. </w:t>
      </w:r>
      <w:r>
        <w:rPr>
          <w:rFonts w:ascii="Arial" w:cs="Arial" w:eastAsia="Arial" w:hAnsi="Arial"/>
          <w:sz w:val="22"/>
          <w:szCs w:val="22"/>
        </w:rPr>
        <w:t xml:space="preserve">Con la exposición ya comparable (80,7% real frente a 81,4% en los placebos), los p-valores suben a 0,31 (CAGR) y 0,20 (Sharpe). El p = 0,06 de antes era en buena parte un artefacto: el CAGR medio de los placebos pasa de 11,4% a 14,2%, y la estrategia real no cambia.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800"/>
        <w:gridCol w:w="1800"/>
        <w:gridCol w:w="2000"/>
        <w:gridCol w:w="1600"/>
      </w:tblGrid>
      <w:tr>
        <w:trPr>
          <w:tblHeader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real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 placebos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p5 – p95 placebos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F4B7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p-valor</w:t>
            </w:r>
          </w:p>
        </w:tc>
      </w:tr>
      <w:t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CAGR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15,09%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14,19%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11,19% – 18,24%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0,307</w:t>
            </w:r>
          </w:p>
        </w:tc>
      </w:tr>
      <w:t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Sharpe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0,95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0,73 – 1,22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0,198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2. Test placebo con 100 simulaciones (episodios reubicados al azar, sin solapes, con la misma exposición).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Sharpe medio de los placebos (0,95) ya está por encima del de SPY (0,80). Elegir fechas al azar dentro de estas acciones, con el mismo tope de 8 posiciones y el mismo stop, da casi lo mismo que la estrategia.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Barrido de parámetros. </w:t>
      </w:r>
      <w:r>
        <w:rPr>
          <w:rFonts w:ascii="Arial" w:cs="Arial" w:eastAsia="Arial" w:hAnsi="Arial"/>
          <w:sz w:val="22"/>
          <w:szCs w:val="22"/>
        </w:rPr>
        <w:t xml:space="preserve">El mapa de calor confirma lo anterior: el Sharpe depende sobre todo de la ventana (60 sesiones) y de cuánto tiempo se está invertido, no del umbral de sorpresa.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2. Cómo lo leería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ventaja de riesgo frente a SPY (Sharpe 1,07 frente a 0,80; drawdown de −28% frente a −34%) viene de tres cosas: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el universo: 21 empresas elegidas con información de hoy;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la diversificación y el tope de posiciones;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el efectivo.</w:t>
      </w:r>
    </w:p>
    <w:p>
      <w:pPr>
        <w:spacing w:after="120" w:before="100"/>
      </w:pPr>
      <w:r>
        <w:rPr>
          <w:rFonts w:ascii="Arial" w:cs="Arial" w:eastAsia="Arial" w:hAnsi="Arial"/>
          <w:sz w:val="22"/>
          <w:szCs w:val="22"/>
        </w:rPr>
        <w:t xml:space="preserve">No viene de predecir el drift tras los resultados.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Matiz de justicia. </w:t>
      </w:r>
      <w:r>
        <w:rPr>
          <w:rFonts w:ascii="Arial" w:cs="Arial" w:eastAsia="Arial" w:hAnsi="Arial"/>
          <w:sz w:val="22"/>
          <w:szCs w:val="22"/>
        </w:rPr>
        <w:t xml:space="preserve">Con unos 430 eventos agrupados en temporadas, el test solo detecta efectos grandes. No es posible distinguir un efecto cero de uno pequeño real, de 1–2% por trimestre. La literatura sitúa el PEAD sobre todo en small y mid caps, y en grandes compañías muy seguidas se ha debilitado mucho.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Por eso la conclusión defendible 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«no detectable en este universo»</w:t>
      </w:r>
      <w:r>
        <w:rPr>
          <w:rFonts w:ascii="Arial" w:cs="Arial" w:eastAsia="Arial" w:hAnsi="Arial"/>
          <w:sz w:val="22"/>
          <w:szCs w:val="22"/>
        </w:rPr>
        <w:t xml:space="preserve">, no «el PEAD no existe». Para el capítulo del libro es un resultado honesto y coherente con el objetivo declarado de documentar limitaciones.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3. Qué haría ahora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Reescribir las conclusiones del Bloque 9. </w:t>
      </w:r>
      <w:r>
        <w:rPr>
          <w:rFonts w:ascii="Arial" w:cs="Arial" w:eastAsia="Arial" w:hAnsi="Arial"/>
          <w:sz w:val="22"/>
          <w:szCs w:val="22"/>
        </w:rPr>
        <w:t xml:space="preserve">Ahora dicen que el mercado «infrarreacciona de forma sistemática», y los datos propios no lo respaldan. El texto puede generarse con los p-valores y el exceso extra reales.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Sensibilidad del stop </w:t>
      </w:r>
      <w:r>
        <w:rPr>
          <w:rFonts w:ascii="Arial" w:cs="Arial" w:eastAsia="Arial" w:hAnsi="Arial"/>
          <w:sz w:val="22"/>
          <w:szCs w:val="22"/>
        </w:rPr>
        <w:t xml:space="preserve">(−12%, −15%, sin stop). El stop de −8% lo toca el 25% de los episodios y recorta exposición sin evidencia de que proteja.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Ampliar el periodo con </w:t>
      </w:r>
      <w:r>
        <w:rPr>
          <w:rFonts w:ascii="Arial" w:cs="Arial" w:eastAsia="Arial" w:hAnsi="Arial"/>
          <w:sz w:val="22"/>
          <w:szCs w:val="22"/>
        </w:rPr>
        <w:t xml:space="preserve">EXCLUIR_TICKERS = ['META', 'TSLA', 'V']. Incluiría 2008, y quitar tres de los mayores ganadores de hindsight reduce el sesgo de supervivencia.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Dar una oportunidad real al PEAD: </w:t>
      </w:r>
      <w:r>
        <w:rPr>
          <w:rFonts w:ascii="Arial" w:cs="Arial" w:eastAsia="Arial" w:hAnsi="Arial"/>
          <w:sz w:val="22"/>
          <w:szCs w:val="22"/>
        </w:rPr>
        <w:t xml:space="preserve">un universo con más mid-caps y quedarse con el decil superior de sorpresa dentro de cada temporada. Requeriría más datos de los disponibles ahora.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4B7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Earnings Surprise (PEAD): lectura de resultados v5</dc:title>
  <dc:creator>Claude</dc:creator>
  <cp:lastModifiedBy>Un-named</cp:lastModifiedBy>
  <cp:revision>1</cp:revision>
  <dcterms:created xsi:type="dcterms:W3CDTF">2026-10-07T21:24:56.733Z</dcterms:created>
  <dcterms:modified xsi:type="dcterms:W3CDTF">2026-10-07T21:24:56.740Z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