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Georgia" w:cs="Georgia" w:eastAsia="Georgia" w:hAnsi="Georgia"/>
          <w:b/>
          <w:bCs/>
          <w:color w:val="1B5E20"/>
          <w:sz w:val="72"/>
          <w:szCs w:val="72"/>
        </w:rPr>
        <w:t xml:space="preserve">UMOJA-ai</w:t>
      </w:r>
    </w:p>
    <w:p>
      <w:pPr>
        <w:spacing w:before="200"/>
      </w:pPr>
    </w:p>
    <w:p>
      <w:pPr>
        <w:jc w:val="center"/>
      </w:pPr>
      <w:r>
        <w:rPr>
          <w:rFonts w:ascii="Calibri" w:cs="Calibri" w:eastAsia="Calibri" w:hAnsi="Calibri"/>
          <w:color w:val="F57F17"/>
          <w:sz w:val="36"/>
          <w:szCs w:val="36"/>
        </w:rPr>
        <w:t xml:space="preserve">AI-Assisted Educational Platform</w:t>
      </w:r>
    </w:p>
    <w:p>
      <w:pPr>
        <w:spacing w:before="200"/>
      </w:pPr>
    </w:p>
    <w:p>
      <w:pPr>
        <w:jc w:val="center"/>
      </w:pPr>
      <w:r>
        <w:rPr>
          <w:rFonts w:ascii="Calibri" w:cs="Calibri" w:eastAsia="Calibri" w:hAnsi="Calibri"/>
          <w:i/>
          <w:iCs/>
          <w:color w:val="757575"/>
          <w:sz w:val="28"/>
          <w:szCs w:val="28"/>
        </w:rPr>
        <w:t xml:space="preserve">Transforming Education Across Africa</w:t>
      </w:r>
    </w:p>
    <w:p>
      <w:pPr>
        <w:spacing w:before="600"/>
      </w:pPr>
    </w:p>
    <w:p>
      <w:pPr>
        <w:jc w:val="center"/>
      </w:pPr>
      <w:r>
        <w:rPr>
          <w:rFonts w:ascii="Calibri" w:cs="Calibri" w:eastAsia="Calibri" w:hAnsi="Calibri"/>
          <w:b/>
          <w:bCs/>
          <w:color w:val="212121"/>
          <w:sz w:val="24"/>
          <w:szCs w:val="24"/>
        </w:rPr>
        <w:t xml:space="preserve">BUSINESS PLAN &amp; INVESTMENT PROSPECTUS</w:t>
      </w:r>
    </w:p>
    <w:p>
      <w:pPr>
        <w:spacing w:before="100"/>
      </w:pPr>
    </w:p>
    <w:p>
      <w:pPr>
        <w:jc w:val="center"/>
      </w:pPr>
      <w:r>
        <w:rPr>
          <w:rFonts w:ascii="Calibri" w:cs="Calibri" w:eastAsia="Calibri" w:hAnsi="Calibri"/>
          <w:color w:val="757575"/>
          <w:sz w:val="22"/>
          <w:szCs w:val="22"/>
        </w:rPr>
        <w:t xml:space="preserve">Ghana Pilot → Pan-African Rollout</w:t>
      </w:r>
    </w:p>
    <w:p>
      <w:pPr>
        <w:spacing w:before="100"/>
      </w:pPr>
    </w:p>
    <w:p>
      <w:pPr>
        <w:jc w:val="center"/>
      </w:pPr>
      <w:r>
        <w:rPr>
          <w:rFonts w:ascii="Calibri" w:cs="Calibri" w:eastAsia="Calibri" w:hAnsi="Calibri"/>
          <w:b/>
          <w:bCs/>
          <w:color w:val="F57F17"/>
          <w:sz w:val="20"/>
          <w:szCs w:val="20"/>
        </w:rPr>
        <w:t xml:space="preserve">CONFIDENTIAL</w:t>
      </w:r>
    </w:p>
    <w:p>
      <w:pPr>
        <w:spacing w:before="100"/>
      </w:pPr>
    </w:p>
    <w:p>
      <w:pPr>
        <w:jc w:val="center"/>
      </w:pPr>
      <w:r>
        <w:rPr>
          <w:rFonts w:ascii="Calibri" w:cs="Calibri" w:eastAsia="Calibri" w:hAnsi="Calibri"/>
          <w:color w:val="757575"/>
          <w:sz w:val="20"/>
          <w:szCs w:val="20"/>
        </w:rPr>
        <w:t xml:space="preserve">March 2026</w:t>
      </w:r>
    </w:p>
    <w:p>
      <w:r>
        <w:br w:type="page"/>
      </w:r>
    </w:p>
    <w:p>
      <w:pPr>
        <w:sectPr>
          <w:pgSz w:w="12240" w:h="15840" w:orient="portrait"/>
          <w:pgMar w:top="1440" w:right="1440" w:bottom="1440" w:left="1440" w:header="708" w:footer="708" w:gutter="0"/>
          <w:pgNumType/>
          <w:docGrid w:linePitch="360"/>
        </w:sectPr>
      </w:pPr>
    </w:p>
    <w:p>
      <w:pPr>
        <w:pStyle w:val="Heading1"/>
        <w:spacing w:before="400" w:after="200"/>
      </w:pPr>
      <w:r>
        <w:rPr>
          <w:rFonts w:ascii="Georgia" w:cs="Georgia" w:eastAsia="Georgia" w:hAnsi="Georgia"/>
          <w:b/>
          <w:bCs/>
          <w:color w:val="1B5E20"/>
          <w:sz w:val="36"/>
          <w:szCs w:val="36"/>
        </w:rPr>
        <w:t xml:space="preserve">Table of Contents</w:t>
      </w:r>
    </w:p>
    <w:p>
      <w:pPr>
        <w:spacing w:after="120" w:line="276"/>
        <w:jc w:val="left"/>
      </w:pPr>
      <w:r>
        <w:rPr>
          <w:rFonts w:ascii="Calibri" w:cs="Calibri" w:eastAsia="Calibri" w:hAnsi="Calibri"/>
          <w:color w:val="212121"/>
          <w:sz w:val="22"/>
          <w:szCs w:val="22"/>
        </w:rPr>
        <w:t xml:space="preserve">1. Executive Summary</w:t>
      </w:r>
    </w:p>
    <w:p>
      <w:pPr>
        <w:spacing w:after="120" w:line="276"/>
        <w:jc w:val="left"/>
      </w:pPr>
      <w:r>
        <w:rPr>
          <w:rFonts w:ascii="Calibri" w:cs="Calibri" w:eastAsia="Calibri" w:hAnsi="Calibri"/>
          <w:color w:val="212121"/>
          <w:sz w:val="22"/>
          <w:szCs w:val="22"/>
        </w:rPr>
        <w:t xml:space="preserve">2. The Problem: Africa’s Education Crisis</w:t>
      </w:r>
    </w:p>
    <w:p>
      <w:pPr>
        <w:spacing w:after="120" w:line="276"/>
        <w:jc w:val="left"/>
      </w:pPr>
      <w:r>
        <w:rPr>
          <w:rFonts w:ascii="Calibri" w:cs="Calibri" w:eastAsia="Calibri" w:hAnsi="Calibri"/>
          <w:color w:val="212121"/>
          <w:sz w:val="22"/>
          <w:szCs w:val="22"/>
        </w:rPr>
        <w:t xml:space="preserve">3. Market Opportunity</w:t>
      </w:r>
    </w:p>
    <w:p>
      <w:pPr>
        <w:spacing w:after="120" w:line="276"/>
        <w:jc w:val="left"/>
      </w:pPr>
      <w:r>
        <w:rPr>
          <w:rFonts w:ascii="Calibri" w:cs="Calibri" w:eastAsia="Calibri" w:hAnsi="Calibri"/>
          <w:color w:val="212121"/>
          <w:sz w:val="22"/>
          <w:szCs w:val="22"/>
        </w:rPr>
        <w:t xml:space="preserve">4. The Solution: UMOJA-ai Platform</w:t>
      </w:r>
    </w:p>
    <w:p>
      <w:pPr>
        <w:spacing w:after="120" w:line="276"/>
        <w:jc w:val="left"/>
      </w:pPr>
      <w:r>
        <w:rPr>
          <w:rFonts w:ascii="Calibri" w:cs="Calibri" w:eastAsia="Calibri" w:hAnsi="Calibri"/>
          <w:color w:val="212121"/>
          <w:sz w:val="22"/>
          <w:szCs w:val="22"/>
        </w:rPr>
        <w:t xml:space="preserve">5. How It Works: Technology &amp; Delivery</w:t>
      </w:r>
    </w:p>
    <w:p>
      <w:pPr>
        <w:spacing w:after="120" w:line="276"/>
        <w:jc w:val="left"/>
      </w:pPr>
      <w:r>
        <w:rPr>
          <w:rFonts w:ascii="Calibri" w:cs="Calibri" w:eastAsia="Calibri" w:hAnsi="Calibri"/>
          <w:color w:val="212121"/>
          <w:sz w:val="22"/>
          <w:szCs w:val="22"/>
        </w:rPr>
        <w:t xml:space="preserve">6. The Three-Party Operating Model</w:t>
      </w:r>
    </w:p>
    <w:p>
      <w:pPr>
        <w:spacing w:after="120" w:line="276"/>
        <w:jc w:val="left"/>
      </w:pPr>
      <w:r>
        <w:rPr>
          <w:rFonts w:ascii="Calibri" w:cs="Calibri" w:eastAsia="Calibri" w:hAnsi="Calibri"/>
          <w:color w:val="212121"/>
          <w:sz w:val="22"/>
          <w:szCs w:val="22"/>
        </w:rPr>
        <w:t xml:space="preserve">7. Cultural Localization Strategy</w:t>
      </w:r>
    </w:p>
    <w:p>
      <w:pPr>
        <w:spacing w:after="120" w:line="276"/>
        <w:jc w:val="left"/>
      </w:pPr>
      <w:r>
        <w:rPr>
          <w:rFonts w:ascii="Calibri" w:cs="Calibri" w:eastAsia="Calibri" w:hAnsi="Calibri"/>
          <w:color w:val="212121"/>
          <w:sz w:val="22"/>
          <w:szCs w:val="22"/>
        </w:rPr>
        <w:t xml:space="preserve">8. Ghana Pilot Program</w:t>
      </w:r>
    </w:p>
    <w:p>
      <w:pPr>
        <w:spacing w:after="120" w:line="276"/>
        <w:jc w:val="left"/>
      </w:pPr>
      <w:r>
        <w:rPr>
          <w:rFonts w:ascii="Calibri" w:cs="Calibri" w:eastAsia="Calibri" w:hAnsi="Calibri"/>
          <w:color w:val="212121"/>
          <w:sz w:val="22"/>
          <w:szCs w:val="22"/>
        </w:rPr>
        <w:t xml:space="preserve">9. Financial Model &amp; Revenue Projections</w:t>
      </w:r>
    </w:p>
    <w:p>
      <w:pPr>
        <w:spacing w:after="120" w:line="276"/>
        <w:jc w:val="left"/>
      </w:pPr>
      <w:r>
        <w:rPr>
          <w:rFonts w:ascii="Calibri" w:cs="Calibri" w:eastAsia="Calibri" w:hAnsi="Calibri"/>
          <w:color w:val="212121"/>
          <w:sz w:val="22"/>
          <w:szCs w:val="22"/>
        </w:rPr>
        <w:t xml:space="preserve">10. Fund Governance &amp; Social Impact</w:t>
      </w:r>
    </w:p>
    <w:p>
      <w:pPr>
        <w:spacing w:after="120" w:line="276"/>
        <w:jc w:val="left"/>
      </w:pPr>
      <w:r>
        <w:rPr>
          <w:rFonts w:ascii="Calibri" w:cs="Calibri" w:eastAsia="Calibri" w:hAnsi="Calibri"/>
          <w:color w:val="212121"/>
          <w:sz w:val="22"/>
          <w:szCs w:val="22"/>
        </w:rPr>
        <w:t xml:space="preserve">11. Rollout Strategy: Ghana to Pan-Africa</w:t>
      </w:r>
    </w:p>
    <w:p>
      <w:pPr>
        <w:spacing w:after="120" w:line="276"/>
        <w:jc w:val="left"/>
      </w:pPr>
      <w:r>
        <w:rPr>
          <w:rFonts w:ascii="Calibri" w:cs="Calibri" w:eastAsia="Calibri" w:hAnsi="Calibri"/>
          <w:color w:val="212121"/>
          <w:sz w:val="22"/>
          <w:szCs w:val="22"/>
        </w:rPr>
        <w:t xml:space="preserve">12. Risk Analysis &amp; Mitigation</w:t>
      </w:r>
    </w:p>
    <w:p>
      <w:pPr>
        <w:spacing w:after="120" w:line="276"/>
        <w:jc w:val="left"/>
      </w:pPr>
      <w:r>
        <w:rPr>
          <w:rFonts w:ascii="Calibri" w:cs="Calibri" w:eastAsia="Calibri" w:hAnsi="Calibri"/>
          <w:color w:val="212121"/>
          <w:sz w:val="22"/>
          <w:szCs w:val="22"/>
        </w:rPr>
        <w:t xml:space="preserve">13. Key Performance Indicators</w:t>
      </w:r>
    </w:p>
    <w:p>
      <w:pPr>
        <w:spacing w:after="120" w:line="276"/>
        <w:jc w:val="left"/>
      </w:pPr>
      <w:r>
        <w:rPr>
          <w:rFonts w:ascii="Calibri" w:cs="Calibri" w:eastAsia="Calibri" w:hAnsi="Calibri"/>
          <w:color w:val="212121"/>
          <w:sz w:val="22"/>
          <w:szCs w:val="22"/>
        </w:rPr>
        <w:t xml:space="preserve">14. Team &amp; Governance Requirements</w:t>
      </w:r>
    </w:p>
    <w:p>
      <w:pPr>
        <w:spacing w:after="120" w:line="276"/>
        <w:jc w:val="left"/>
      </w:pPr>
      <w:r>
        <w:rPr>
          <w:rFonts w:ascii="Calibri" w:cs="Calibri" w:eastAsia="Calibri" w:hAnsi="Calibri"/>
          <w:color w:val="212121"/>
          <w:sz w:val="22"/>
          <w:szCs w:val="22"/>
        </w:rPr>
        <w:t xml:space="preserve">15. Investment Ask &amp; Returns</w:t>
      </w:r>
    </w:p>
    <w:p>
      <w:pPr>
        <w:spacing w:after="120" w:line="276"/>
        <w:jc w:val="left"/>
      </w:pPr>
      <w:r>
        <w:rPr>
          <w:rFonts w:ascii="Calibri" w:cs="Calibri" w:eastAsia="Calibri" w:hAnsi="Calibri"/>
          <w:color w:val="212121"/>
          <w:sz w:val="22"/>
          <w:szCs w:val="22"/>
        </w:rPr>
        <w:t xml:space="preserve">16. Appendices</w:t>
      </w:r>
    </w:p>
    <w:p>
      <w:r>
        <w:br w:type="page"/>
      </w:r>
    </w:p>
    <w:p>
      <w:pPr>
        <w:pStyle w:val="Heading1"/>
        <w:spacing w:before="400" w:after="200"/>
      </w:pPr>
      <w:r>
        <w:rPr>
          <w:rFonts w:ascii="Georgia" w:cs="Georgia" w:eastAsia="Georgia" w:hAnsi="Georgia"/>
          <w:b/>
          <w:bCs/>
          <w:color w:val="1B5E20"/>
          <w:sz w:val="36"/>
          <w:szCs w:val="36"/>
        </w:rPr>
        <w:t xml:space="preserve">1. Executive Summary</w:t>
      </w:r>
    </w:p>
    <w:p>
      <w:pPr>
        <w:spacing w:after="120" w:line="276"/>
        <w:jc w:val="left"/>
      </w:pPr>
      <w:r>
        <w:rPr>
          <w:rFonts w:ascii="Calibri" w:cs="Calibri" w:eastAsia="Calibri" w:hAnsi="Calibri"/>
          <w:color w:val="212121"/>
          <w:sz w:val="22"/>
          <w:szCs w:val="22"/>
        </w:rPr>
        <w:t xml:space="preserve">UMOJA-ai is an artificial intelligence-assisted educational platform designed to transform the delivery of primary, junior high school (JHS), and senior high school (SHS) education across Africa. Launching first in Ghana, the platform addresses the continent’s deepest structural challenge: a vast, growing school-age population being failed by under-resourced education systems.</w:t>
      </w:r>
    </w:p>
    <w:p>
      <w:pPr>
        <w:spacing w:after="120" w:line="276"/>
        <w:jc w:val="left"/>
      </w:pPr>
      <w:r>
        <w:rPr>
          <w:rFonts w:ascii="Calibri" w:cs="Calibri" w:eastAsia="Calibri" w:hAnsi="Calibri"/>
          <w:color w:val="212121"/>
          <w:sz w:val="22"/>
          <w:szCs w:val="22"/>
        </w:rPr>
        <w:t xml:space="preserve">Sub-Saharan Africa faces a learning crisis of extraordinary proportions. According to the World Bank, seven out of ten children in the region cannot read for comprehension by age ten. UNESCO estimates that an additional 5.4 million primary school teachers are needed in sub-Saharan Africa alone to meet Sustainable Development Goal 4 by 2030. In Ghana specifically, only 19–25% of pupils meet national proficiency standards, and approximately 995,000 children were out of school as of 2021.</w:t>
      </w:r>
    </w:p>
    <w:p>
      <w:pPr>
        <w:spacing w:after="120" w:line="276"/>
        <w:jc w:val="left"/>
      </w:pPr>
      <w:r>
        <w:rPr>
          <w:rFonts w:ascii="Calibri" w:cs="Calibri" w:eastAsia="Calibri" w:hAnsi="Calibri"/>
          <w:color w:val="212121"/>
          <w:sz w:val="22"/>
          <w:szCs w:val="22"/>
        </w:rPr>
        <w:t xml:space="preserve">UMOJA-ai draws inspiration from two proven models: Australia’s School of the Air, which since the 1960s has delivered education via radio to remote communities, and modern AI-powered adaptive learning platforms now operating in schools across Sweden and other developed nations. By combining these approaches and delivering content through Africa’s rapidly expanding mobile telecom networks, UMOJA-ai can reach classrooms that no traditional intervention has been able to serve.</w:t>
      </w:r>
    </w:p>
    <w:p>
      <w:pPr>
        <w:spacing w:after="120" w:line="276"/>
        <w:jc w:val="left"/>
      </w:pPr>
      <w:r>
        <w:rPr>
          <w:rFonts w:ascii="Calibri" w:cs="Calibri" w:eastAsia="Calibri" w:hAnsi="Calibri"/>
          <w:color w:val="212121"/>
          <w:sz w:val="22"/>
          <w:szCs w:val="22"/>
        </w:rPr>
        <w:t xml:space="preserve">The platform operates through a three-party partnership model bringing together UMOJA-ai (technology and content), national governments (curriculum, regulation, and institutional support), and telecommunications companies (connectivity infrastructure and distribution). This tripartite structure is essential because no single party possesses all the capabilities needed to deliver education at continental scale.</w:t>
      </w:r>
    </w:p>
    <w:p>
      <w:pPr>
        <w:spacing w:after="120" w:line="276"/>
      </w:pPr>
      <w:r>
        <w:rPr>
          <w:rFonts w:ascii="Calibri" w:cs="Calibri" w:eastAsia="Calibri" w:hAnsi="Calibri"/>
          <w:b/>
          <w:bCs/>
          <w:color w:val="212121"/>
          <w:sz w:val="22"/>
          <w:szCs w:val="22"/>
        </w:rPr>
        <w:t xml:space="preserve">Revenue Model: </w:t>
      </w:r>
      <w:r>
        <w:rPr>
          <w:rFonts w:ascii="Calibri" w:cs="Calibri" w:eastAsia="Calibri" w:hAnsi="Calibri"/>
          <w:color w:val="212121"/>
          <w:sz w:val="22"/>
          <w:szCs w:val="22"/>
        </w:rPr>
        <w:t xml:space="preserve">Approximately 12 million school-age children in Ghana will pay $2 per week during school terms, with means-tested subsidies for underserved communities. This creates a self-sustaining revenue engine that can fund teacher support, infrastructure improvement, educational materials, and system expansion.</w:t>
      </w:r>
    </w:p>
    <w:p>
      <w:pPr>
        <w:spacing w:after="120" w:line="276"/>
      </w:pPr>
      <w:r>
        <w:rPr>
          <w:rFonts w:ascii="Calibri" w:cs="Calibri" w:eastAsia="Calibri" w:hAnsi="Calibri"/>
          <w:b/>
          <w:bCs/>
          <w:color w:val="212121"/>
          <w:sz w:val="22"/>
          <w:szCs w:val="22"/>
        </w:rPr>
        <w:t xml:space="preserve">Ghana Pilot: </w:t>
      </w:r>
      <w:r>
        <w:rPr>
          <w:rFonts w:ascii="Calibri" w:cs="Calibri" w:eastAsia="Calibri" w:hAnsi="Calibri"/>
          <w:color w:val="212121"/>
          <w:sz w:val="22"/>
          <w:szCs w:val="22"/>
        </w:rPr>
        <w:t xml:space="preserve">A 15-school pilot program across mixed urban and peri-urban geographies will validate the model before national rollout. Success will be measured by literacy gains, reduced dropout rates, and improved examination results within 6–12 months.</w:t>
      </w:r>
    </w:p>
    <w:p>
      <w:pPr>
        <w:spacing w:after="120" w:line="276"/>
      </w:pPr>
      <w:r>
        <w:rPr>
          <w:rFonts w:ascii="Calibri" w:cs="Calibri" w:eastAsia="Calibri" w:hAnsi="Calibri"/>
          <w:b/>
          <w:bCs/>
          <w:color w:val="212121"/>
          <w:sz w:val="22"/>
          <w:szCs w:val="22"/>
        </w:rPr>
        <w:t xml:space="preserve">Investment Required: </w:t>
      </w:r>
      <w:r>
        <w:rPr>
          <w:rFonts w:ascii="Calibri" w:cs="Calibri" w:eastAsia="Calibri" w:hAnsi="Calibri"/>
          <w:color w:val="212121"/>
          <w:sz w:val="22"/>
          <w:szCs w:val="22"/>
        </w:rPr>
        <w:t xml:space="preserve">Initial capital will be raised through private investors to fund technology development, pilot deployment, device procurement, and operational setup. Financial returns will be structured through revenue-sharing agreements with investors, government, and telecom partners.</w:t>
      </w:r>
    </w:p>
    <w:p>
      <w:r>
        <w:br w:type="page"/>
      </w:r>
    </w:p>
    <w:p>
      <w:pPr>
        <w:pStyle w:val="Heading1"/>
        <w:spacing w:before="400" w:after="200"/>
      </w:pPr>
      <w:r>
        <w:rPr>
          <w:rFonts w:ascii="Georgia" w:cs="Georgia" w:eastAsia="Georgia" w:hAnsi="Georgia"/>
          <w:b/>
          <w:bCs/>
          <w:color w:val="1B5E20"/>
          <w:sz w:val="36"/>
          <w:szCs w:val="36"/>
        </w:rPr>
        <w:t xml:space="preserve">2. The Problem: Africa’s Education Crisis</w:t>
      </w:r>
    </w:p>
    <w:p>
      <w:pPr>
        <w:pStyle w:val="Heading2"/>
        <w:spacing w:before="300" w:after="150"/>
      </w:pPr>
      <w:r>
        <w:rPr>
          <w:rFonts w:ascii="Georgia" w:cs="Georgia" w:eastAsia="Georgia" w:hAnsi="Georgia"/>
          <w:b/>
          <w:bCs/>
          <w:color w:val="1B5E20"/>
          <w:sz w:val="28"/>
          <w:szCs w:val="28"/>
        </w:rPr>
        <w:t xml:space="preserve">2.1 The Learning Crisis in Numbers</w:t>
      </w:r>
    </w:p>
    <w:p>
      <w:pPr>
        <w:spacing w:after="120" w:line="276"/>
        <w:jc w:val="left"/>
      </w:pPr>
      <w:r>
        <w:rPr>
          <w:rFonts w:ascii="Calibri" w:cs="Calibri" w:eastAsia="Calibri" w:hAnsi="Calibri"/>
          <w:color w:val="212121"/>
          <w:sz w:val="22"/>
          <w:szCs w:val="22"/>
        </w:rPr>
        <w:t xml:space="preserve">Africa’s education crisis is not merely about access—it is fundamentally about quality. While enrollment rates have risen across the continent over the past two decades, learning outcomes remain devastatingly poor. The World Bank’s concept of “learning poverty”—the share of children unable to read and understand a simple text by age 10—stands at approximately 90% across Eastern and Southern Africa, according to UNICEF.</w:t>
      </w:r>
    </w:p>
    <w:p>
      <w:pPr>
        <w:spacing w:after="120" w:line="276"/>
        <w:jc w:val="left"/>
      </w:pPr>
      <w:r>
        <w:rPr>
          <w:rFonts w:ascii="Calibri" w:cs="Calibri" w:eastAsia="Calibri" w:hAnsi="Calibri"/>
          <w:color w:val="212121"/>
          <w:sz w:val="22"/>
          <w:szCs w:val="22"/>
        </w:rPr>
        <w:t xml:space="preserve">In Ghana, the 2018 National Education Assessment revealed that only 19–25% of primary pupils scored at or above the proficiency threshold across all grades and subjects tested. Between 35% and 48% of pupils scored below minimum competency. A downward trend between 2016 and 2018 suggests the problem is worsening, not improving.</w:t>
      </w:r>
    </w:p>
    <w:p>
      <w:pPr>
        <w:pStyle w:val="Heading2"/>
        <w:spacing w:before="300" w:after="150"/>
      </w:pPr>
      <w:r>
        <w:rPr>
          <w:rFonts w:ascii="Georgia" w:cs="Georgia" w:eastAsia="Georgia" w:hAnsi="Georgia"/>
          <w:b/>
          <w:bCs/>
          <w:color w:val="1B5E20"/>
          <w:sz w:val="28"/>
          <w:szCs w:val="28"/>
        </w:rPr>
        <w:t xml:space="preserve">2.2 Teacher Shortages &amp; Working Conditions</w:t>
      </w:r>
    </w:p>
    <w:p>
      <w:pPr>
        <w:spacing w:after="120" w:line="276"/>
        <w:jc w:val="left"/>
      </w:pPr>
      <w:r>
        <w:rPr>
          <w:rFonts w:ascii="Calibri" w:cs="Calibri" w:eastAsia="Calibri" w:hAnsi="Calibri"/>
          <w:color w:val="212121"/>
          <w:sz w:val="22"/>
          <w:szCs w:val="22"/>
        </w:rPr>
        <w:t xml:space="preserve">UNESCO projects that the world urgently needs 12.3 million new primary teachers, with 5.4 million of those needed in sub-Saharan Africa. At the secondary level, seven out of ten teachers globally will need to be replaced by 2030. In Nigeria alone, public primary schools face a deficit of over 165,000 teachers, with only 915,913 teachers serving 31.7 million pupils.</w:t>
      </w:r>
    </w:p>
    <w:p>
      <w:pPr>
        <w:spacing w:after="120" w:line="276"/>
        <w:jc w:val="left"/>
      </w:pPr>
      <w:r>
        <w:rPr>
          <w:rFonts w:ascii="Calibri" w:cs="Calibri" w:eastAsia="Calibri" w:hAnsi="Calibri"/>
          <w:color w:val="212121"/>
          <w:sz w:val="22"/>
          <w:szCs w:val="22"/>
        </w:rPr>
        <w:t xml:space="preserve">Teachers across Africa are chronically underpaid, often earning below the poverty line. In many countries, teacher salaries consume over 85% of education budgets, leaving virtually nothing for learning materials, infrastructure, or professional development. Teacher absenteeism in Eastern and Southern Africa ranges from 15% to 45%, driven by the need to supplement income through other work.</w:t>
      </w:r>
    </w:p>
    <w:p>
      <w:pPr>
        <w:pStyle w:val="Heading2"/>
        <w:spacing w:before="300" w:after="150"/>
      </w:pPr>
      <w:r>
        <w:rPr>
          <w:rFonts w:ascii="Georgia" w:cs="Georgia" w:eastAsia="Georgia" w:hAnsi="Georgia"/>
          <w:b/>
          <w:bCs/>
          <w:color w:val="1B5E20"/>
          <w:sz w:val="28"/>
          <w:szCs w:val="28"/>
        </w:rPr>
        <w:t xml:space="preserve">2.3 Infrastructure Deficiencies</w:t>
      </w:r>
    </w:p>
    <w:p>
      <w:pPr>
        <w:spacing w:after="120" w:line="276"/>
        <w:jc w:val="left"/>
      </w:pPr>
      <w:r>
        <w:rPr>
          <w:rFonts w:ascii="Calibri" w:cs="Calibri" w:eastAsia="Calibri" w:hAnsi="Calibri"/>
          <w:color w:val="212121"/>
          <w:sz w:val="22"/>
          <w:szCs w:val="22"/>
        </w:rPr>
        <w:t xml:space="preserve">Many African schools, particularly in rural areas, lack basic infrastructure: electricity, potable water, sanitation facilities, furniture, and learning materials. The physical school may exist as little more than a building shell. When “free education” is offered, families still bear costs for books, uniforms, meals, and exam fees, creating hidden barriers that drive dropout.</w:t>
      </w:r>
    </w:p>
    <w:p>
      <w:pPr>
        <w:spacing w:after="120" w:line="276"/>
        <w:jc w:val="left"/>
      </w:pPr>
      <w:r>
        <w:rPr>
          <w:rFonts w:ascii="Calibri" w:cs="Calibri" w:eastAsia="Calibri" w:hAnsi="Calibri"/>
          <w:color w:val="212121"/>
          <w:sz w:val="22"/>
          <w:szCs w:val="22"/>
        </w:rPr>
        <w:t xml:space="preserve">In Ghana, despite spending over 6% of GDP on education—above the global average of 5%—primary school completion rates remain at approximately 71–73% for girls and 69% for boys according to UNICEF MICS data. At the lower secondary level, 53% of children do not complete their education, rising to 65% at upper secondary.</w:t>
      </w:r>
    </w:p>
    <w:p>
      <w:pPr>
        <w:pStyle w:val="Heading2"/>
        <w:spacing w:before="300" w:after="150"/>
      </w:pPr>
      <w:r>
        <w:rPr>
          <w:rFonts w:ascii="Georgia" w:cs="Georgia" w:eastAsia="Georgia" w:hAnsi="Georgia"/>
          <w:b/>
          <w:bCs/>
          <w:color w:val="1B5E20"/>
          <w:sz w:val="28"/>
          <w:szCs w:val="28"/>
        </w:rPr>
        <w:t xml:space="preserve">2.4 The Urban-Rural Divide</w:t>
      </w:r>
    </w:p>
    <w:p>
      <w:pPr>
        <w:spacing w:after="120" w:line="276"/>
        <w:jc w:val="left"/>
      </w:pPr>
      <w:r>
        <w:rPr>
          <w:rFonts w:ascii="Calibri" w:cs="Calibri" w:eastAsia="Calibri" w:hAnsi="Calibri"/>
          <w:color w:val="212121"/>
          <w:sz w:val="22"/>
          <w:szCs w:val="22"/>
        </w:rPr>
        <w:t xml:space="preserve">Rural schools disproportionately bear the burden of the crisis. They have fewer qualified teachers, higher pupil-to-teacher ratios, poorer infrastructure, and less access to learning materials. Teachers prefer urban postings because cities offer higher incomes and better living conditions. This creates a self-reinforcing cycle where the communities most in need of quality education are the least likely to receive it.</w:t>
      </w:r>
    </w:p>
    <w:p>
      <w:pPr>
        <w:pStyle w:val="Heading2"/>
        <w:spacing w:before="300" w:after="150"/>
      </w:pPr>
      <w:r>
        <w:rPr>
          <w:rFonts w:ascii="Georgia" w:cs="Georgia" w:eastAsia="Georgia" w:hAnsi="Georgia"/>
          <w:b/>
          <w:bCs/>
          <w:color w:val="1B5E20"/>
          <w:sz w:val="28"/>
          <w:szCs w:val="28"/>
        </w:rPr>
        <w:t xml:space="preserve">2.5 The Economic Imperative</w:t>
      </w:r>
    </w:p>
    <w:p>
      <w:pPr>
        <w:spacing w:after="120" w:line="276"/>
        <w:jc w:val="left"/>
      </w:pPr>
      <w:r>
        <w:rPr>
          <w:rFonts w:ascii="Calibri" w:cs="Calibri" w:eastAsia="Calibri" w:hAnsi="Calibri"/>
          <w:color w:val="212121"/>
          <w:sz w:val="22"/>
          <w:szCs w:val="22"/>
        </w:rPr>
        <w:t xml:space="preserve">The World Bank estimates that providing universal basic education with foundational learning in sub-Saharan Africa could double GDP per capita by 2050. Each additional year of education boosts individual incomes by 12.4% in the region, rising to 14.5% for women. With the continent’s working-age population expected to double by 2050, Africa faces a unique window of opportunity: transform education outcomes now, or face a demographic dividend that becomes a demographic disaster.</w:t>
      </w:r>
    </w:p>
    <w:p>
      <w:r>
        <w:br w:type="page"/>
      </w:r>
    </w:p>
    <w:p>
      <w:pPr>
        <w:pStyle w:val="Heading1"/>
        <w:spacing w:before="400" w:after="200"/>
      </w:pPr>
      <w:r>
        <w:rPr>
          <w:rFonts w:ascii="Georgia" w:cs="Georgia" w:eastAsia="Georgia" w:hAnsi="Georgia"/>
          <w:b/>
          <w:bCs/>
          <w:color w:val="1B5E20"/>
          <w:sz w:val="36"/>
          <w:szCs w:val="36"/>
        </w:rPr>
        <w:t xml:space="preserve">3. Market Opportunity</w:t>
      </w:r>
    </w:p>
    <w:p>
      <w:pPr>
        <w:pStyle w:val="Heading2"/>
        <w:spacing w:before="300" w:after="150"/>
      </w:pPr>
      <w:r>
        <w:rPr>
          <w:rFonts w:ascii="Georgia" w:cs="Georgia" w:eastAsia="Georgia" w:hAnsi="Georgia"/>
          <w:b/>
          <w:bCs/>
          <w:color w:val="1B5E20"/>
          <w:sz w:val="28"/>
          <w:szCs w:val="28"/>
        </w:rPr>
        <w:t xml:space="preserve">3.1 Total Addressable Market</w:t>
      </w:r>
    </w:p>
    <w:p>
      <w:pPr>
        <w:spacing w:after="120" w:line="276"/>
        <w:jc w:val="left"/>
      </w:pPr>
      <w:r>
        <w:rPr>
          <w:rFonts w:ascii="Calibri" w:cs="Calibri" w:eastAsia="Calibri" w:hAnsi="Calibri"/>
          <w:color w:val="212121"/>
          <w:sz w:val="22"/>
          <w:szCs w:val="22"/>
        </w:rPr>
        <w:t xml:space="preserve">Africa has the world’s youngest population, with approximately 40% of its 1.4 billion people under age 15. The school-age population (ages 4–18) across the continent exceeds 400 million and is projected to grow to over 500 million by mid-century. In Ghana alone, approximately 12 million children are of school-going age.</w:t>
      </w:r>
    </w:p>
    <w:p>
      <w:pPr>
        <w:pStyle w:val="Heading2"/>
        <w:spacing w:before="300" w:after="150"/>
      </w:pPr>
      <w:r>
        <w:rPr>
          <w:rFonts w:ascii="Georgia" w:cs="Georgia" w:eastAsia="Georgia" w:hAnsi="Georgia"/>
          <w:b/>
          <w:bCs/>
          <w:color w:val="1B5E20"/>
          <w:sz w:val="28"/>
          <w:szCs w:val="28"/>
        </w:rPr>
        <w:t xml:space="preserve">3.2 Ghana: The Ideal Launch Market</w:t>
      </w:r>
    </w:p>
    <w:p>
      <w:pPr>
        <w:spacing w:after="120" w:line="276"/>
        <w:jc w:val="left"/>
      </w:pPr>
      <w:r>
        <w:rPr>
          <w:rFonts w:ascii="Calibri" w:cs="Calibri" w:eastAsia="Calibri" w:hAnsi="Calibri"/>
          <w:color w:val="212121"/>
          <w:sz w:val="22"/>
          <w:szCs w:val="22"/>
        </w:rPr>
        <w:t xml:space="preserve">Ghana offers several strategic advantages as a launch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Factor</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Ghana Advantage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Political Stability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One of Africa’s most stable democracies with regular peaceful transitions of power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Education Spending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Over 6% of GDP allocated to education, demonstrating government commitment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Telecom Infrastructure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113% mobile penetration (38.95 million connections for 33 million population)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Mobile Money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67% mobile money penetration; MTN MoMo is deeply embedded in daily commerce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Language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English is the official language of instruction, simplifying initial content development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Regulatory Environment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Established National Communications Authority (NCA) and data protection framework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Regional Influence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Member of ECOWAS; Ghana’s success can catalyze West African adoption</w:t>
            </w:r>
          </w:p>
        </w:tc>
      </w:tr>
    </w:tbl>
    <w:p>
      <w:pPr>
        <w:spacing w:before="100"/>
      </w:pPr>
    </w:p>
    <w:p>
      <w:pPr>
        <w:pStyle w:val="Heading2"/>
        <w:spacing w:before="300" w:after="150"/>
      </w:pPr>
      <w:r>
        <w:rPr>
          <w:rFonts w:ascii="Georgia" w:cs="Georgia" w:eastAsia="Georgia" w:hAnsi="Georgia"/>
          <w:b/>
          <w:bCs/>
          <w:color w:val="1B5E20"/>
          <w:sz w:val="28"/>
          <w:szCs w:val="28"/>
        </w:rPr>
        <w:t xml:space="preserve">3.3 Pan-African Expansion Potential</w:t>
      </w:r>
    </w:p>
    <w:p>
      <w:pPr>
        <w:spacing w:after="120" w:line="276"/>
        <w:jc w:val="left"/>
      </w:pPr>
      <w:r>
        <w:rPr>
          <w:rFonts w:ascii="Calibri" w:cs="Calibri" w:eastAsia="Calibri" w:hAnsi="Calibri"/>
          <w:color w:val="212121"/>
          <w:sz w:val="22"/>
          <w:szCs w:val="22"/>
        </w:rPr>
        <w:t xml:space="preserve">Following Ghana, the model can expand to other Anglophone West African nations (Nigeria, Sierra Leone, Liberia, The Gambia), then to East Africa (Kenya, Tanzania, Uganda, Rwanda) and Southern Africa. Francophone and Lusophone adaptations would follow. The continental market of 400+ million school-age children represents a multi-billion dollar opportunity.</w:t>
      </w:r>
    </w:p>
    <w:p>
      <w:pPr>
        <w:pStyle w:val="Heading2"/>
        <w:spacing w:before="300" w:after="150"/>
      </w:pPr>
      <w:r>
        <w:rPr>
          <w:rFonts w:ascii="Georgia" w:cs="Georgia" w:eastAsia="Georgia" w:hAnsi="Georgia"/>
          <w:b/>
          <w:bCs/>
          <w:color w:val="1B5E20"/>
          <w:sz w:val="28"/>
          <w:szCs w:val="28"/>
        </w:rPr>
        <w:t xml:space="preserve">3.4 Telecom Sector Alignment</w:t>
      </w:r>
    </w:p>
    <w:p>
      <w:pPr>
        <w:spacing w:after="120" w:line="276"/>
        <w:jc w:val="left"/>
      </w:pPr>
      <w:r>
        <w:rPr>
          <w:rFonts w:ascii="Calibri" w:cs="Calibri" w:eastAsia="Calibri" w:hAnsi="Calibri"/>
          <w:color w:val="212121"/>
          <w:sz w:val="22"/>
          <w:szCs w:val="22"/>
        </w:rPr>
        <w:t xml:space="preserve">Ghana’s telecom market is valued at approximately $2.5 billion (2024) and growing at 8% annually. Three major operators dominate: MTN Ghana (approximately 40% market share), Telecel (formerly Vodafone, approximately 30%), and AT Ghana. These operators are actively investing in rural network expansion and seeking new revenue streams in edutech and fintech. UMOJA-ai offers telecoms a compelling value proposition: zero-rated educational data drives subscriber growth and increases average revenue per user (ARPU) through adjacent services.</w:t>
      </w:r>
    </w:p>
    <w:p>
      <w:r>
        <w:br w:type="page"/>
      </w:r>
    </w:p>
    <w:p>
      <w:pPr>
        <w:pStyle w:val="Heading1"/>
        <w:spacing w:before="400" w:after="200"/>
      </w:pPr>
      <w:r>
        <w:rPr>
          <w:rFonts w:ascii="Georgia" w:cs="Georgia" w:eastAsia="Georgia" w:hAnsi="Georgia"/>
          <w:b/>
          <w:bCs/>
          <w:color w:val="1B5E20"/>
          <w:sz w:val="36"/>
          <w:szCs w:val="36"/>
        </w:rPr>
        <w:t xml:space="preserve">4. The Solution: UMOJA-ai Platform</w:t>
      </w:r>
    </w:p>
    <w:p>
      <w:pPr>
        <w:pStyle w:val="Heading2"/>
        <w:spacing w:before="300" w:after="150"/>
      </w:pPr>
      <w:r>
        <w:rPr>
          <w:rFonts w:ascii="Georgia" w:cs="Georgia" w:eastAsia="Georgia" w:hAnsi="Georgia"/>
          <w:b/>
          <w:bCs/>
          <w:color w:val="1B5E20"/>
          <w:sz w:val="28"/>
          <w:szCs w:val="28"/>
        </w:rPr>
        <w:t xml:space="preserve">4.1 Vision</w:t>
      </w:r>
    </w:p>
    <w:p>
      <w:pPr>
        <w:spacing w:after="120" w:line="276"/>
        <w:jc w:val="left"/>
      </w:pPr>
      <w:r>
        <w:rPr>
          <w:rFonts w:ascii="Calibri" w:cs="Calibri" w:eastAsia="Calibri" w:hAnsi="Calibri"/>
          <w:color w:val="212121"/>
          <w:sz w:val="22"/>
          <w:szCs w:val="22"/>
        </w:rPr>
        <w:t xml:space="preserve">UMOJA-ai is an AI-powered curriculum delivery system that brings high-quality, standardized education to every classroom in Africa—regardless of location, infrastructure, or teacher availability. The system does not replace teachers; it empowers them. By providing a structured, AI-driven lesson delivered through an avatar, and placing the teacher in a supervisory and supportive role, UMOJA-ai addresses both the quality and quantity gaps in African education simultaneously.</w:t>
      </w:r>
    </w:p>
    <w:p>
      <w:pPr>
        <w:pStyle w:val="Heading2"/>
        <w:spacing w:before="300" w:after="150"/>
      </w:pPr>
      <w:r>
        <w:rPr>
          <w:rFonts w:ascii="Georgia" w:cs="Georgia" w:eastAsia="Georgia" w:hAnsi="Georgia"/>
          <w:b/>
          <w:bCs/>
          <w:color w:val="1B5E20"/>
          <w:sz w:val="28"/>
          <w:szCs w:val="28"/>
        </w:rPr>
        <w:t xml:space="preserve">4.2 Core Components</w:t>
      </w:r>
    </w:p>
    <w:p>
      <w:pPr>
        <w:spacing w:after="120" w:line="276"/>
      </w:pPr>
      <w:r>
        <w:rPr>
          <w:rFonts w:ascii="Calibri" w:cs="Calibri" w:eastAsia="Calibri" w:hAnsi="Calibri"/>
          <w:b/>
          <w:bCs/>
          <w:color w:val="212121"/>
          <w:sz w:val="22"/>
          <w:szCs w:val="22"/>
        </w:rPr>
        <w:t xml:space="preserve">AI Avatar Instructor: </w:t>
      </w:r>
      <w:r>
        <w:rPr>
          <w:rFonts w:ascii="Calibri" w:cs="Calibri" w:eastAsia="Calibri" w:hAnsi="Calibri"/>
          <w:color w:val="212121"/>
          <w:sz w:val="22"/>
          <w:szCs w:val="22"/>
        </w:rPr>
        <w:t xml:space="preserve">An AI-powered virtual teacher delivers lessons aligned with the national curriculum. The avatar presents content, asks questions, provides explanations, and adapts pacing based on teacher input and class response.</w:t>
      </w:r>
    </w:p>
    <w:p>
      <w:pPr>
        <w:spacing w:after="120" w:line="276"/>
      </w:pPr>
      <w:r>
        <w:rPr>
          <w:rFonts w:ascii="Calibri" w:cs="Calibri" w:eastAsia="Calibri" w:hAnsi="Calibri"/>
          <w:b/>
          <w:bCs/>
          <w:color w:val="212121"/>
          <w:sz w:val="22"/>
          <w:szCs w:val="22"/>
        </w:rPr>
        <w:t xml:space="preserve">Teacher-Controlled Pacing: </w:t>
      </w:r>
      <w:r>
        <w:rPr>
          <w:rFonts w:ascii="Calibri" w:cs="Calibri" w:eastAsia="Calibri" w:hAnsi="Calibri"/>
          <w:color w:val="212121"/>
          <w:sz w:val="22"/>
          <w:szCs w:val="22"/>
        </w:rPr>
        <w:t xml:space="preserve">The classroom teacher controls lesson pace, pauses for discussion, provides localized context, and ensures no student is left behind. The teacher mediates between the AI and students, answering questions with AI assistance.</w:t>
      </w:r>
    </w:p>
    <w:p>
      <w:pPr>
        <w:spacing w:after="120" w:line="276"/>
      </w:pPr>
      <w:r>
        <w:rPr>
          <w:rFonts w:ascii="Calibri" w:cs="Calibri" w:eastAsia="Calibri" w:hAnsi="Calibri"/>
          <w:b/>
          <w:bCs/>
          <w:color w:val="212121"/>
          <w:sz w:val="22"/>
          <w:szCs w:val="22"/>
        </w:rPr>
        <w:t xml:space="preserve">Low-Cost Hardware Kit: </w:t>
      </w:r>
      <w:r>
        <w:rPr>
          <w:rFonts w:ascii="Calibri" w:cs="Calibri" w:eastAsia="Calibri" w:hAnsi="Calibri"/>
          <w:color w:val="212121"/>
          <w:sz w:val="22"/>
          <w:szCs w:val="22"/>
        </w:rPr>
        <w:t xml:space="preserve">Each school receives a ruggedized, purpose-built tablet (locked to the UMOJA system) and a low-cost pico projector. The total hardware package is designed to be affordable, portable, and durable.</w:t>
      </w:r>
    </w:p>
    <w:p>
      <w:pPr>
        <w:spacing w:after="120" w:line="276"/>
      </w:pPr>
      <w:r>
        <w:rPr>
          <w:rFonts w:ascii="Calibri" w:cs="Calibri" w:eastAsia="Calibri" w:hAnsi="Calibri"/>
          <w:b/>
          <w:bCs/>
          <w:color w:val="212121"/>
          <w:sz w:val="22"/>
          <w:szCs w:val="22"/>
        </w:rPr>
        <w:t xml:space="preserve">Solar-Powered Battery System: </w:t>
      </w:r>
      <w:r>
        <w:rPr>
          <w:rFonts w:ascii="Calibri" w:cs="Calibri" w:eastAsia="Calibri" w:hAnsi="Calibri"/>
          <w:color w:val="212121"/>
          <w:sz w:val="22"/>
          <w:szCs w:val="22"/>
        </w:rPr>
        <w:t xml:space="preserve">All hardware ships with a rechargeable battery system compatible with both solar panels and grid electricity, ensuring operation in off-grid environments.</w:t>
      </w:r>
    </w:p>
    <w:p>
      <w:pPr>
        <w:spacing w:after="120" w:line="276"/>
      </w:pPr>
      <w:r>
        <w:rPr>
          <w:rFonts w:ascii="Calibri" w:cs="Calibri" w:eastAsia="Calibri" w:hAnsi="Calibri"/>
          <w:b/>
          <w:bCs/>
          <w:color w:val="212121"/>
          <w:sz w:val="22"/>
          <w:szCs w:val="22"/>
        </w:rPr>
        <w:t xml:space="preserve">Mobile Delivery: </w:t>
      </w:r>
      <w:r>
        <w:rPr>
          <w:rFonts w:ascii="Calibri" w:cs="Calibri" w:eastAsia="Calibri" w:hAnsi="Calibri"/>
          <w:color w:val="212121"/>
          <w:sz w:val="22"/>
          <w:szCs w:val="22"/>
        </w:rPr>
        <w:t xml:space="preserve">Lessons are streamed via the mobile telecom network. In areas without coverage, content is pre-loaded on the tablet’s local host system and updated monthly during maintenance visits.</w:t>
      </w:r>
    </w:p>
    <w:p>
      <w:pPr>
        <w:spacing w:after="120" w:line="276"/>
      </w:pPr>
      <w:r>
        <w:rPr>
          <w:rFonts w:ascii="Calibri" w:cs="Calibri" w:eastAsia="Calibri" w:hAnsi="Calibri"/>
          <w:b/>
          <w:bCs/>
          <w:color w:val="212121"/>
          <w:sz w:val="22"/>
          <w:szCs w:val="22"/>
        </w:rPr>
        <w:t xml:space="preserve">Mobile Phone Access: </w:t>
      </w:r>
      <w:r>
        <w:rPr>
          <w:rFonts w:ascii="Calibri" w:cs="Calibri" w:eastAsia="Calibri" w:hAnsi="Calibri"/>
          <w:color w:val="212121"/>
          <w:sz w:val="22"/>
          <w:szCs w:val="22"/>
        </w:rPr>
        <w:t xml:space="preserve">Students and families can access supplementary content via personal mobile phones, extending learning beyond the classroom.</w:t>
      </w:r>
    </w:p>
    <w:p>
      <w:pPr>
        <w:spacing w:after="120" w:line="276"/>
      </w:pPr>
      <w:r>
        <w:rPr>
          <w:rFonts w:ascii="Calibri" w:cs="Calibri" w:eastAsia="Calibri" w:hAnsi="Calibri"/>
          <w:b/>
          <w:bCs/>
          <w:color w:val="212121"/>
          <w:sz w:val="22"/>
          <w:szCs w:val="22"/>
        </w:rPr>
        <w:t xml:space="preserve">Student Registration &amp; Examination: </w:t>
      </w:r>
      <w:r>
        <w:rPr>
          <w:rFonts w:ascii="Calibri" w:cs="Calibri" w:eastAsia="Calibri" w:hAnsi="Calibri"/>
          <w:color w:val="212121"/>
          <w:sz w:val="22"/>
          <w:szCs w:val="22"/>
        </w:rPr>
        <w:t xml:space="preserve">All students are registered using their Ghana National ID number for examination purposes. The system manages class-based delivery with individual student tracking for assessments.</w:t>
      </w:r>
    </w:p>
    <w:p>
      <w:pPr>
        <w:pStyle w:val="Heading2"/>
        <w:spacing w:before="300" w:after="150"/>
      </w:pPr>
      <w:r>
        <w:rPr>
          <w:rFonts w:ascii="Georgia" w:cs="Georgia" w:eastAsia="Georgia" w:hAnsi="Georgia"/>
          <w:b/>
          <w:bCs/>
          <w:color w:val="1B5E20"/>
          <w:sz w:val="28"/>
          <w:szCs w:val="28"/>
        </w:rPr>
        <w:t xml:space="preserve">4.3 Differentiation</w:t>
      </w:r>
    </w:p>
    <w:p>
      <w:pPr>
        <w:spacing w:after="120" w:line="276"/>
        <w:jc w:val="left"/>
      </w:pPr>
      <w:r>
        <w:rPr>
          <w:rFonts w:ascii="Calibri" w:cs="Calibri" w:eastAsia="Calibri" w:hAnsi="Calibri"/>
          <w:color w:val="212121"/>
          <w:sz w:val="22"/>
          <w:szCs w:val="22"/>
        </w:rPr>
        <w:t xml:space="preserve">UMOJA-ai is distinguished from existing edtech solutions by several critical factors: it is designed for the lowest-resource environments rather than adapted from Western markets; it works offline; it is teacher-augmented rather than teacher-replacing; it delivers the actual national curriculum rather than supplementary content; and it is integrated with a sustainable financing model that makes it self-sufficient.</w:t>
      </w:r>
    </w:p>
    <w:p>
      <w:r>
        <w:br w:type="page"/>
      </w:r>
    </w:p>
    <w:p>
      <w:pPr>
        <w:pStyle w:val="Heading1"/>
        <w:spacing w:before="400" w:after="200"/>
      </w:pPr>
      <w:r>
        <w:rPr>
          <w:rFonts w:ascii="Georgia" w:cs="Georgia" w:eastAsia="Georgia" w:hAnsi="Georgia"/>
          <w:b/>
          <w:bCs/>
          <w:color w:val="1B5E20"/>
          <w:sz w:val="36"/>
          <w:szCs w:val="36"/>
        </w:rPr>
        <w:t xml:space="preserve">5. How It Works: Technology &amp; Delivery</w:t>
      </w:r>
    </w:p>
    <w:p>
      <w:pPr>
        <w:pStyle w:val="Heading2"/>
        <w:spacing w:before="300" w:after="150"/>
      </w:pPr>
      <w:r>
        <w:rPr>
          <w:rFonts w:ascii="Georgia" w:cs="Georgia" w:eastAsia="Georgia" w:hAnsi="Georgia"/>
          <w:b/>
          <w:bCs/>
          <w:color w:val="1B5E20"/>
          <w:sz w:val="28"/>
          <w:szCs w:val="28"/>
        </w:rPr>
        <w:t xml:space="preserve">5.1 System Architecture</w:t>
      </w:r>
    </w:p>
    <w:p>
      <w:pPr>
        <w:spacing w:after="120" w:line="276"/>
        <w:jc w:val="left"/>
      </w:pPr>
      <w:r>
        <w:rPr>
          <w:rFonts w:ascii="Calibri" w:cs="Calibri" w:eastAsia="Calibri" w:hAnsi="Calibri"/>
          <w:color w:val="212121"/>
          <w:sz w:val="22"/>
          <w:szCs w:val="22"/>
        </w:rPr>
        <w:t xml:space="preserve">The UMOJA-ai platform consists of three layers: a Central Content Engine, a Delivery Network, and Classroom Endpoints.</w:t>
      </w:r>
    </w:p>
    <w:p>
      <w:pPr>
        <w:spacing w:after="120" w:line="276"/>
      </w:pPr>
      <w:r>
        <w:rPr>
          <w:rFonts w:ascii="Calibri" w:cs="Calibri" w:eastAsia="Calibri" w:hAnsi="Calibri"/>
          <w:b/>
          <w:bCs/>
          <w:color w:val="212121"/>
          <w:sz w:val="22"/>
          <w:szCs w:val="22"/>
        </w:rPr>
        <w:t xml:space="preserve">Central Content Engine: </w:t>
      </w:r>
      <w:r>
        <w:rPr>
          <w:rFonts w:ascii="Calibri" w:cs="Calibri" w:eastAsia="Calibri" w:hAnsi="Calibri"/>
          <w:color w:val="212121"/>
          <w:sz w:val="22"/>
          <w:szCs w:val="22"/>
        </w:rPr>
        <w:t xml:space="preserve">Located in a secure data center (with data sovereignty guaranteed within Ghana), this engine hosts the AI models, curriculum content, lesson plans, assessment frameworks, and student registration database. All content is developed in partnership with the Ministry of Education and aligned to the national curriculum (NaCCA standards, WAEC examination requirements).</w:t>
      </w:r>
    </w:p>
    <w:p>
      <w:pPr>
        <w:spacing w:after="120" w:line="276"/>
      </w:pPr>
      <w:r>
        <w:rPr>
          <w:rFonts w:ascii="Calibri" w:cs="Calibri" w:eastAsia="Calibri" w:hAnsi="Calibri"/>
          <w:b/>
          <w:bCs/>
          <w:color w:val="212121"/>
          <w:sz w:val="22"/>
          <w:szCs w:val="22"/>
        </w:rPr>
        <w:t xml:space="preserve">Delivery Network: </w:t>
      </w:r>
      <w:r>
        <w:rPr>
          <w:rFonts w:ascii="Calibri" w:cs="Calibri" w:eastAsia="Calibri" w:hAnsi="Calibri"/>
          <w:color w:val="212121"/>
          <w:sz w:val="22"/>
          <w:szCs w:val="22"/>
        </w:rPr>
        <w:t xml:space="preserve">Content is distributed via the mobile telecom network using zero-rated data channels provided by partner telecoms. This means schools pay no data charges for educational content. The system is optimized for low-bandwidth delivery, using compressed audio-visual streams and efficient data protocols.</w:t>
      </w:r>
    </w:p>
    <w:p>
      <w:pPr>
        <w:spacing w:after="120" w:line="276"/>
      </w:pPr>
      <w:r>
        <w:rPr>
          <w:rFonts w:ascii="Calibri" w:cs="Calibri" w:eastAsia="Calibri" w:hAnsi="Calibri"/>
          <w:b/>
          <w:bCs/>
          <w:color w:val="212121"/>
          <w:sz w:val="22"/>
          <w:szCs w:val="22"/>
        </w:rPr>
        <w:t xml:space="preserve">Classroom Endpoints: </w:t>
      </w:r>
      <w:r>
        <w:rPr>
          <w:rFonts w:ascii="Calibri" w:cs="Calibri" w:eastAsia="Calibri" w:hAnsi="Calibri"/>
          <w:color w:val="212121"/>
          <w:sz w:val="22"/>
          <w:szCs w:val="22"/>
        </w:rPr>
        <w:t xml:space="preserve">The teacher’s tablet receives content, displays it via the pico projector, and manages the interactive lesson session. Student questions are relayed through the teacher, who can activate the AI’s response system or provide answers directly.</w:t>
      </w:r>
    </w:p>
    <w:p>
      <w:pPr>
        <w:pStyle w:val="Heading2"/>
        <w:spacing w:before="300" w:after="150"/>
      </w:pPr>
      <w:r>
        <w:rPr>
          <w:rFonts w:ascii="Georgia" w:cs="Georgia" w:eastAsia="Georgia" w:hAnsi="Georgia"/>
          <w:b/>
          <w:bCs/>
          <w:color w:val="1B5E20"/>
          <w:sz w:val="28"/>
          <w:szCs w:val="28"/>
        </w:rPr>
        <w:t xml:space="preserve">5.2 Offline Capability</w:t>
      </w:r>
    </w:p>
    <w:p>
      <w:pPr>
        <w:spacing w:after="120" w:line="276"/>
        <w:jc w:val="left"/>
      </w:pPr>
      <w:r>
        <w:rPr>
          <w:rFonts w:ascii="Calibri" w:cs="Calibri" w:eastAsia="Calibri" w:hAnsi="Calibri"/>
          <w:color w:val="212121"/>
          <w:sz w:val="22"/>
          <w:szCs w:val="22"/>
        </w:rPr>
        <w:t xml:space="preserve">In areas without telecom coverage, the tablet operates as a local host system. The AI engine runs locally with pre-loaded curriculum content. Updates occur monthly during scheduled maintenance visits. The offline system delivers the identical lesson experience as the online version, ensuring educational equity regardless of connectivity.</w:t>
      </w:r>
    </w:p>
    <w:p>
      <w:pPr>
        <w:pStyle w:val="Heading2"/>
        <w:spacing w:before="300" w:after="150"/>
      </w:pPr>
      <w:r>
        <w:rPr>
          <w:rFonts w:ascii="Georgia" w:cs="Georgia" w:eastAsia="Georgia" w:hAnsi="Georgia"/>
          <w:b/>
          <w:bCs/>
          <w:color w:val="1B5E20"/>
          <w:sz w:val="28"/>
          <w:szCs w:val="28"/>
        </w:rPr>
        <w:t xml:space="preserve">5.3 Data Privacy &amp; Security</w:t>
      </w:r>
    </w:p>
    <w:p>
      <w:pPr>
        <w:spacing w:after="120" w:line="276"/>
        <w:jc w:val="left"/>
      </w:pPr>
      <w:r>
        <w:rPr>
          <w:rFonts w:ascii="Calibri" w:cs="Calibri" w:eastAsia="Calibri" w:hAnsi="Calibri"/>
          <w:color w:val="212121"/>
          <w:sz w:val="22"/>
          <w:szCs w:val="22"/>
        </w:rPr>
        <w:t xml:space="preserve">Student data privacy is paramount. All data handling operates under Ghana’s legal data protection framework. Key principles include: data sovereignty (no student data leaves the country), encryption in transit and at rest, role-based access controls, regular security audits, and transparent data governance policies. The independent fund administration company provides an additional layer of oversight.</w:t>
      </w:r>
    </w:p>
    <w:p>
      <w:r>
        <w:br w:type="page"/>
      </w:r>
    </w:p>
    <w:p>
      <w:pPr>
        <w:pStyle w:val="Heading1"/>
        <w:spacing w:before="400" w:after="200"/>
      </w:pPr>
      <w:r>
        <w:rPr>
          <w:rFonts w:ascii="Georgia" w:cs="Georgia" w:eastAsia="Georgia" w:hAnsi="Georgia"/>
          <w:b/>
          <w:bCs/>
          <w:color w:val="1B5E20"/>
          <w:sz w:val="36"/>
          <w:szCs w:val="36"/>
        </w:rPr>
        <w:t xml:space="preserve">6. The Three-Party Operating Model</w:t>
      </w:r>
    </w:p>
    <w:p>
      <w:pPr>
        <w:spacing w:after="120" w:line="276"/>
        <w:jc w:val="left"/>
      </w:pPr>
      <w:r>
        <w:rPr>
          <w:rFonts w:ascii="Calibri" w:cs="Calibri" w:eastAsia="Calibri" w:hAnsi="Calibri"/>
          <w:color w:val="212121"/>
          <w:sz w:val="22"/>
          <w:szCs w:val="22"/>
        </w:rPr>
        <w:t xml:space="preserve">The UMOJA-ai delivery model requires three interdependent partners. No single party can deliver this alone. The tripartite structure distributes responsibilities according to each partner’s core competencies and ensures checks and balances across the system.</w:t>
      </w:r>
    </w:p>
    <w:p>
      <w:pPr>
        <w:pStyle w:val="Heading2"/>
        <w:spacing w:before="300" w:after="150"/>
      </w:pPr>
      <w:r>
        <w:rPr>
          <w:rFonts w:ascii="Georgia" w:cs="Georgia" w:eastAsia="Georgia" w:hAnsi="Georgia"/>
          <w:b/>
          <w:bCs/>
          <w:color w:val="1B5E20"/>
          <w:sz w:val="28"/>
          <w:szCs w:val="28"/>
        </w:rPr>
        <w:t xml:space="preserve">6.1 UMOJA-ai: Technology &amp; Content Partner</w:t>
      </w:r>
    </w:p>
    <w:p>
      <w:pPr>
        <w:spacing w:after="120" w:line="276"/>
        <w:jc w:val="left"/>
      </w:pPr>
      <w:r>
        <w:rPr>
          <w:rFonts w:ascii="Calibri" w:cs="Calibri" w:eastAsia="Calibri" w:hAnsi="Calibri"/>
          <w:color w:val="212121"/>
          <w:sz w:val="22"/>
          <w:szCs w:val="22"/>
        </w:rPr>
        <w:t xml:space="preserve">UMOJA-ai is responsible for all technology development, AI model training, curriculum content creation, hardware specification and procurement, teacher training programs, system maintenance and support, examination design and administration, and student registration infrastructure. UMOJA-ai retains intellectual property over the platform and operates as the central coordinating entity.</w:t>
      </w:r>
    </w:p>
    <w:p>
      <w:pPr>
        <w:pStyle w:val="Heading2"/>
        <w:spacing w:before="300" w:after="150"/>
      </w:pPr>
      <w:r>
        <w:rPr>
          <w:rFonts w:ascii="Georgia" w:cs="Georgia" w:eastAsia="Georgia" w:hAnsi="Georgia"/>
          <w:b/>
          <w:bCs/>
          <w:color w:val="1B5E20"/>
          <w:sz w:val="28"/>
          <w:szCs w:val="28"/>
        </w:rPr>
        <w:t xml:space="preserve">6.2 Government of Ghana: Institutional &amp; Regulatory Partner</w:t>
      </w:r>
    </w:p>
    <w:p>
      <w:pPr>
        <w:spacing w:after="120" w:line="276"/>
        <w:jc w:val="left"/>
      </w:pPr>
      <w:r>
        <w:rPr>
          <w:rFonts w:ascii="Calibri" w:cs="Calibri" w:eastAsia="Calibri" w:hAnsi="Calibri"/>
          <w:color w:val="212121"/>
          <w:sz w:val="22"/>
          <w:szCs w:val="22"/>
        </w:rPr>
        <w:t xml:space="preserve">The Government of Ghana participates through multiple agencies: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Agency</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Ministry of Education (MoE)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Policy oversight, strategic direction, political championing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Ghana Education Service (GES)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School-level implementation, teacher coordination, operational support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National Council for Curriculum &amp; Assessment (NaCCA)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Curriculum alignment, content validation, assessment standards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National Communications Authority (NCA)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Telecom regulation, zero-rated data authorization, spectrum allocation</w:t>
            </w:r>
          </w:p>
        </w:tc>
      </w:tr>
    </w:tbl>
    <w:p>
      <w:pPr>
        <w:spacing w:before="100"/>
      </w:pPr>
    </w:p>
    <w:p>
      <w:pPr>
        <w:spacing w:after="120" w:line="276"/>
        <w:jc w:val="left"/>
      </w:pPr>
      <w:r>
        <w:rPr>
          <w:rFonts w:ascii="Calibri" w:cs="Calibri" w:eastAsia="Calibri" w:hAnsi="Calibri"/>
          <w:color w:val="212121"/>
          <w:sz w:val="22"/>
          <w:szCs w:val="22"/>
        </w:rPr>
        <w:t xml:space="preserve">The government provides institutional legitimacy, regulatory frameworks, and integration with existing education systems. In return, it receives an agreed percentage of revenue through the Educational Fund, supplementing the national education budget.</w:t>
      </w:r>
    </w:p>
    <w:p>
      <w:pPr>
        <w:pStyle w:val="Heading2"/>
        <w:spacing w:before="300" w:after="150"/>
      </w:pPr>
      <w:r>
        <w:rPr>
          <w:rFonts w:ascii="Georgia" w:cs="Georgia" w:eastAsia="Georgia" w:hAnsi="Georgia"/>
          <w:b/>
          <w:bCs/>
          <w:color w:val="1B5E20"/>
          <w:sz w:val="28"/>
          <w:szCs w:val="28"/>
        </w:rPr>
        <w:t xml:space="preserve">6.3 Telecommunications Partners: Connectivity &amp; Distribution</w:t>
      </w:r>
    </w:p>
    <w:p>
      <w:pPr>
        <w:spacing w:after="120" w:line="276"/>
        <w:jc w:val="left"/>
      </w:pPr>
      <w:r>
        <w:rPr>
          <w:rFonts w:ascii="Calibri" w:cs="Calibri" w:eastAsia="Calibri" w:hAnsi="Calibri"/>
          <w:color w:val="212121"/>
          <w:sz w:val="22"/>
          <w:szCs w:val="22"/>
        </w:rPr>
        <w:t xml:space="preserve">Ghana’s major telecom operators (MTN, Telecel, AT Ghana) are invited to provide zero-rated data for educational content delivery, network infrastructure expansion in underserved areas, distribution and billing infrastructure (leveraging mobile money platforms), and potential device financing programs.</w:t>
      </w:r>
    </w:p>
    <w:p>
      <w:pPr>
        <w:spacing w:after="120" w:line="276"/>
        <w:jc w:val="left"/>
      </w:pPr>
      <w:r>
        <w:rPr>
          <w:rFonts w:ascii="Calibri" w:cs="Calibri" w:eastAsia="Calibri" w:hAnsi="Calibri"/>
          <w:color w:val="212121"/>
          <w:sz w:val="22"/>
          <w:szCs w:val="22"/>
        </w:rPr>
        <w:t xml:space="preserve">Telecoms benefit from increased subscriber acquisition and retention, higher ARPU through adjacent services, corporate social responsibility positioning, and preferential regulatory treatment for educational connectivity investments.</w:t>
      </w:r>
    </w:p>
    <w:p>
      <w:r>
        <w:br w:type="page"/>
      </w:r>
    </w:p>
    <w:p>
      <w:pPr>
        <w:pStyle w:val="Heading1"/>
        <w:spacing w:before="400" w:after="200"/>
      </w:pPr>
      <w:r>
        <w:rPr>
          <w:rFonts w:ascii="Georgia" w:cs="Georgia" w:eastAsia="Georgia" w:hAnsi="Georgia"/>
          <w:b/>
          <w:bCs/>
          <w:color w:val="1B5E20"/>
          <w:sz w:val="36"/>
          <w:szCs w:val="36"/>
        </w:rPr>
        <w:t xml:space="preserve">7. Cultural Localization Strategy</w:t>
      </w:r>
    </w:p>
    <w:p>
      <w:pPr>
        <w:spacing w:after="120" w:line="276"/>
        <w:jc w:val="left"/>
      </w:pPr>
      <w:r>
        <w:rPr>
          <w:rFonts w:ascii="Calibri" w:cs="Calibri" w:eastAsia="Calibri" w:hAnsi="Calibri"/>
          <w:color w:val="212121"/>
          <w:sz w:val="22"/>
          <w:szCs w:val="22"/>
        </w:rPr>
        <w:t xml:space="preserve">Africa is not a monolith. Successful deployment requires deep sensitivity to cultural differences that vary not only between countries but between regions, ethnic groups, and communities within a single nation.</w:t>
      </w:r>
    </w:p>
    <w:p>
      <w:pPr>
        <w:pStyle w:val="Heading2"/>
        <w:spacing w:before="300" w:after="150"/>
      </w:pPr>
      <w:r>
        <w:rPr>
          <w:rFonts w:ascii="Georgia" w:cs="Georgia" w:eastAsia="Georgia" w:hAnsi="Georgia"/>
          <w:b/>
          <w:bCs/>
          <w:color w:val="1B5E20"/>
          <w:sz w:val="28"/>
          <w:szCs w:val="28"/>
        </w:rPr>
        <w:t xml:space="preserve">7.1 Classroom Norms</w:t>
      </w:r>
    </w:p>
    <w:p>
      <w:pPr>
        <w:spacing w:after="120" w:line="276"/>
        <w:jc w:val="left"/>
      </w:pPr>
      <w:r>
        <w:rPr>
          <w:rFonts w:ascii="Calibri" w:cs="Calibri" w:eastAsia="Calibri" w:hAnsi="Calibri"/>
          <w:color w:val="212121"/>
          <w:sz w:val="22"/>
          <w:szCs w:val="22"/>
        </w:rPr>
        <w:t xml:space="preserve">Ghanaian and broader African classroom culture differs significantly from Western models. Respect for authority, communal learning, call-and-response pedagogy, and group participation are deeply embedded norms. The AI avatar must be designed to work within these cultural frameworks rather than imposing Western individualistic learning models. Lesson delivery will incorporate call-and-response patterns, group activities, and respect-based interactions that feel natural to both teachers and students.</w:t>
      </w:r>
    </w:p>
    <w:p>
      <w:pPr>
        <w:pStyle w:val="Heading2"/>
        <w:spacing w:before="300" w:after="150"/>
      </w:pPr>
      <w:r>
        <w:rPr>
          <w:rFonts w:ascii="Georgia" w:cs="Georgia" w:eastAsia="Georgia" w:hAnsi="Georgia"/>
          <w:b/>
          <w:bCs/>
          <w:color w:val="1B5E20"/>
          <w:sz w:val="28"/>
          <w:szCs w:val="28"/>
        </w:rPr>
        <w:t xml:space="preserve">7.2 Examination Culture</w:t>
      </w:r>
    </w:p>
    <w:p>
      <w:pPr>
        <w:spacing w:after="120" w:line="276"/>
        <w:jc w:val="left"/>
      </w:pPr>
      <w:r>
        <w:rPr>
          <w:rFonts w:ascii="Calibri" w:cs="Calibri" w:eastAsia="Calibri" w:hAnsi="Calibri"/>
          <w:color w:val="212121"/>
          <w:sz w:val="22"/>
          <w:szCs w:val="22"/>
        </w:rPr>
        <w:t xml:space="preserve">Across West Africa, examinations carry enormous social weight. The Basic Education Certificate Examination (BECE) and West African Senior School Certificate Examination (WASSCE) are life-determining events. UMOJA-ai’s curriculum delivery must be explicitly aligned to examination requirements, with regular formative assessments that prepare students for high-stakes testing. The system will track student progress toward examination readiness and alert teachers to areas requiring additional focus.</w:t>
      </w:r>
    </w:p>
    <w:p>
      <w:pPr>
        <w:pStyle w:val="Heading2"/>
        <w:spacing w:before="300" w:after="150"/>
      </w:pPr>
      <w:r>
        <w:rPr>
          <w:rFonts w:ascii="Georgia" w:cs="Georgia" w:eastAsia="Georgia" w:hAnsi="Georgia"/>
          <w:b/>
          <w:bCs/>
          <w:color w:val="1B5E20"/>
          <w:sz w:val="28"/>
          <w:szCs w:val="28"/>
        </w:rPr>
        <w:t xml:space="preserve">7.3 Religious Sensitivity</w:t>
      </w:r>
    </w:p>
    <w:p>
      <w:pPr>
        <w:spacing w:after="120" w:line="276"/>
        <w:jc w:val="left"/>
      </w:pPr>
      <w:r>
        <w:rPr>
          <w:rFonts w:ascii="Calibri" w:cs="Calibri" w:eastAsia="Calibri" w:hAnsi="Calibri"/>
          <w:color w:val="212121"/>
          <w:sz w:val="22"/>
          <w:szCs w:val="22"/>
        </w:rPr>
        <w:t xml:space="preserve">Ghana’s population is approximately 71% Christian and 18% Muslim, with significant regional variation. The Northern Region is predominantly Muslim, while Southern and Coastal regions are predominantly Christian. UMOJA-ai content will be religiously neutral in core curriculum delivery while respecting religious observance schedules (Friday prayers, Sunday worship, Ramadan). The AI avatar’s presentation, language, and examples will be carefully vetted for religious sensitivity by advisory panels representing both faith communities.</w:t>
      </w:r>
    </w:p>
    <w:p>
      <w:pPr>
        <w:pStyle w:val="Heading2"/>
        <w:spacing w:before="300" w:after="150"/>
      </w:pPr>
      <w:r>
        <w:rPr>
          <w:rFonts w:ascii="Georgia" w:cs="Georgia" w:eastAsia="Georgia" w:hAnsi="Georgia"/>
          <w:b/>
          <w:bCs/>
          <w:color w:val="1B5E20"/>
          <w:sz w:val="28"/>
          <w:szCs w:val="28"/>
        </w:rPr>
        <w:t xml:space="preserve">7.4 Language Strategy</w:t>
      </w:r>
    </w:p>
    <w:p>
      <w:pPr>
        <w:spacing w:after="120" w:line="276"/>
        <w:jc w:val="left"/>
      </w:pPr>
      <w:r>
        <w:rPr>
          <w:rFonts w:ascii="Calibri" w:cs="Calibri" w:eastAsia="Calibri" w:hAnsi="Calibri"/>
          <w:color w:val="212121"/>
          <w:sz w:val="22"/>
          <w:szCs w:val="22"/>
        </w:rPr>
        <w:t xml:space="preserve">Launch will be English-only, consistent with Ghana’s official language of instruction. However, the platform architecture will support multilingual expansion. Phase 2 will introduce support for Twi, Ewe, Dagbani, and Ga—Ghana’s four most widely spoken local languages. This is critical for early primary education where mother-tongue instruction significantly improves learning outcomes. Pan-African expansion will require Francophone (French), Lusophone (Portuguese), Swahili, and Arabic adaptations.</w:t>
      </w:r>
    </w:p>
    <w:p>
      <w:r>
        <w:br w:type="page"/>
      </w:r>
    </w:p>
    <w:p>
      <w:pPr>
        <w:pStyle w:val="Heading1"/>
        <w:spacing w:before="400" w:after="200"/>
      </w:pPr>
      <w:r>
        <w:rPr>
          <w:rFonts w:ascii="Georgia" w:cs="Georgia" w:eastAsia="Georgia" w:hAnsi="Georgia"/>
          <w:b/>
          <w:bCs/>
          <w:color w:val="1B5E20"/>
          <w:sz w:val="36"/>
          <w:szCs w:val="36"/>
        </w:rPr>
        <w:t xml:space="preserve">8. Ghana Pilot Program</w:t>
      </w:r>
    </w:p>
    <w:p>
      <w:pPr>
        <w:pStyle w:val="Heading2"/>
        <w:spacing w:before="300" w:after="150"/>
      </w:pPr>
      <w:r>
        <w:rPr>
          <w:rFonts w:ascii="Georgia" w:cs="Georgia" w:eastAsia="Georgia" w:hAnsi="Georgia"/>
          <w:b/>
          <w:bCs/>
          <w:color w:val="1B5E20"/>
          <w:sz w:val="28"/>
          <w:szCs w:val="28"/>
        </w:rPr>
        <w:t xml:space="preserve">8.1 Pilot Design</w:t>
      </w:r>
    </w:p>
    <w:p>
      <w:pPr>
        <w:spacing w:after="120" w:line="276"/>
        <w:jc w:val="left"/>
      </w:pPr>
      <w:r>
        <w:rPr>
          <w:rFonts w:ascii="Calibri" w:cs="Calibri" w:eastAsia="Calibri" w:hAnsi="Calibri"/>
          <w:color w:val="212121"/>
          <w:sz w:val="22"/>
          <w:szCs w:val="22"/>
        </w:rPr>
        <w:t xml:space="preserve">The Ghana pilot will deploy UMOJA-ai across 15 schools selected to represent Ghana’s diverse educational landscape. Schools will be chosen from the largest urban centers initially, with a mix of metropolitan, peri-urban, and urban-fringe locations. The pilot will cover all three levels: Primary, JHS, and SHS.</w:t>
      </w:r>
    </w:p>
    <w:p>
      <w:pPr>
        <w:pStyle w:val="Heading2"/>
        <w:spacing w:before="300" w:after="150"/>
      </w:pPr>
      <w:r>
        <w:rPr>
          <w:rFonts w:ascii="Georgia" w:cs="Georgia" w:eastAsia="Georgia" w:hAnsi="Georgia"/>
          <w:b/>
          <w:bCs/>
          <w:color w:val="1B5E20"/>
          <w:sz w:val="28"/>
          <w:szCs w:val="28"/>
        </w:rPr>
        <w:t xml:space="preserve">8.2 Pilot Objectives</w:t>
      </w:r>
    </w:p>
    <w:p>
      <w:pPr>
        <w:spacing w:after="120" w:line="276"/>
        <w:jc w:val="left"/>
      </w:pPr>
      <w:r>
        <w:rPr>
          <w:rFonts w:ascii="Calibri" w:cs="Calibri" w:eastAsia="Calibri" w:hAnsi="Calibri"/>
          <w:color w:val="212121"/>
          <w:sz w:val="22"/>
          <w:szCs w:val="22"/>
        </w:rPr>
        <w:t xml:space="preserve">The pilot program is designed to validate the technology in real classroom conditions, measure learning outcomes against control schools, test the financial model and fee collection mechanisms, refine the AI avatar’s pedagogical approach based on teacher and student feedback, assess infrastructure requirements and solar/battery performance, evaluate telecom delivery reliability across different network conditions, and build the evidence base required for national rollout approval.</w:t>
      </w:r>
    </w:p>
    <w:p>
      <w:pPr>
        <w:pStyle w:val="Heading2"/>
        <w:spacing w:before="300" w:after="150"/>
      </w:pPr>
      <w:r>
        <w:rPr>
          <w:rFonts w:ascii="Georgia" w:cs="Georgia" w:eastAsia="Georgia" w:hAnsi="Georgia"/>
          <w:b/>
          <w:bCs/>
          <w:color w:val="1B5E20"/>
          <w:sz w:val="28"/>
          <w:szCs w:val="28"/>
        </w:rPr>
        <w:t xml:space="preserve">8.3 Feasibility Study</w:t>
      </w:r>
    </w:p>
    <w:p>
      <w:pPr>
        <w:spacing w:after="120" w:line="276"/>
        <w:jc w:val="left"/>
      </w:pPr>
      <w:r>
        <w:rPr>
          <w:rFonts w:ascii="Calibri" w:cs="Calibri" w:eastAsia="Calibri" w:hAnsi="Calibri"/>
          <w:color w:val="212121"/>
          <w:sz w:val="22"/>
          <w:szCs w:val="22"/>
        </w:rPr>
        <w:t xml:space="preserve">A comprehensive feasibility study will precede the pilot, assessing school selection criteria and baseline learning levels, infrastructure readiness (electricity, network coverage, classroom conditions), community willingness to pay and cultural receptiveness, teacher readiness and training requirements, and local government engagement and support. The feasibility study will determine final pilot scale, geographic distribution, and implementation timeline.</w:t>
      </w:r>
    </w:p>
    <w:p>
      <w:pPr>
        <w:pStyle w:val="Heading2"/>
        <w:spacing w:before="300" w:after="150"/>
      </w:pPr>
      <w:r>
        <w:rPr>
          <w:rFonts w:ascii="Georgia" w:cs="Georgia" w:eastAsia="Georgia" w:hAnsi="Georgia"/>
          <w:b/>
          <w:bCs/>
          <w:color w:val="1B5E20"/>
          <w:sz w:val="28"/>
          <w:szCs w:val="28"/>
        </w:rPr>
        <w:t xml:space="preserve">8.4 Success Metrics (6–12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KPI</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Measurement Method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Literacy Gains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15–20% improvement vs. control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Pre/post standardized assessments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Dropout Reduction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30% reduction vs. baseline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Enrollment tracking, attendance records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Exam Results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Measurable improvement in BECE/WASSCE scores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Examination results comparison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Teacher Satisfaction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&gt;80% positive rating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Structured teacher surveys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System Uptime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&gt;95% availability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Platform monitoring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Fee Collection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&gt;85% of enrolled students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Mobile money transaction records</w:t>
            </w:r>
          </w:p>
        </w:tc>
      </w:tr>
    </w:tbl>
    <w:p>
      <w:r>
        <w:br w:type="page"/>
      </w:r>
    </w:p>
    <w:p>
      <w:pPr>
        <w:pStyle w:val="Heading1"/>
        <w:spacing w:before="400" w:after="200"/>
      </w:pPr>
      <w:r>
        <w:rPr>
          <w:rFonts w:ascii="Georgia" w:cs="Georgia" w:eastAsia="Georgia" w:hAnsi="Georgia"/>
          <w:b/>
          <w:bCs/>
          <w:color w:val="1B5E20"/>
          <w:sz w:val="36"/>
          <w:szCs w:val="36"/>
        </w:rPr>
        <w:t xml:space="preserve">9. Financial Model &amp; Revenue Projections</w:t>
      </w:r>
    </w:p>
    <w:p>
      <w:pPr>
        <w:pStyle w:val="Heading2"/>
        <w:spacing w:before="300" w:after="150"/>
      </w:pPr>
      <w:r>
        <w:rPr>
          <w:rFonts w:ascii="Georgia" w:cs="Georgia" w:eastAsia="Georgia" w:hAnsi="Georgia"/>
          <w:b/>
          <w:bCs/>
          <w:color w:val="1B5E20"/>
          <w:sz w:val="28"/>
          <w:szCs w:val="28"/>
        </w:rPr>
        <w:t xml:space="preserve">9.1 Revenue Structure</w:t>
      </w:r>
    </w:p>
    <w:p>
      <w:pPr>
        <w:spacing w:after="120" w:line="276"/>
        <w:jc w:val="left"/>
      </w:pPr>
      <w:r>
        <w:rPr>
          <w:rFonts w:ascii="Calibri" w:cs="Calibri" w:eastAsia="Calibri" w:hAnsi="Calibri"/>
          <w:color w:val="212121"/>
          <w:sz w:val="22"/>
          <w:szCs w:val="22"/>
        </w:rPr>
        <w:t xml:space="preserve">Revenue is generated through a per-student weekly fee of $2 (USD), collected during school terms only. Ghana’s academic year comprises approximately 40 school weeks across three terms. Fee collection will leverage the existing mobile money infrastructure, with payments processed through MTN MoMo, Telecel Cash, or AT Money platforms.</w:t>
      </w:r>
    </w:p>
    <w:p>
      <w:pPr>
        <w:pStyle w:val="Heading2"/>
        <w:spacing w:before="300" w:after="150"/>
      </w:pPr>
      <w:r>
        <w:rPr>
          <w:rFonts w:ascii="Georgia" w:cs="Georgia" w:eastAsia="Georgia" w:hAnsi="Georgia"/>
          <w:b/>
          <w:bCs/>
          <w:color w:val="1B5E20"/>
          <w:sz w:val="28"/>
          <w:szCs w:val="28"/>
        </w:rPr>
        <w:t xml:space="preserve">9.2 Subsidy &amp; Affordability</w:t>
      </w:r>
    </w:p>
    <w:p>
      <w:pPr>
        <w:spacing w:after="120" w:line="276"/>
        <w:jc w:val="left"/>
      </w:pPr>
      <w:r>
        <w:rPr>
          <w:rFonts w:ascii="Calibri" w:cs="Calibri" w:eastAsia="Calibri" w:hAnsi="Calibri"/>
          <w:color w:val="212121"/>
          <w:sz w:val="22"/>
          <w:szCs w:val="22"/>
        </w:rPr>
        <w:t xml:space="preserve">Fees are means-tested. Students in large urban centers pay the standard $2/week rate. Students in peri-urban and rural communities receive subsidies funded by the Educational Fund (described below). The subsidy structure ensures that ability to pay never determines access to education. Subsidy determination will consider household income, geographic location, and community economic indicators.</w:t>
      </w:r>
    </w:p>
    <w:p>
      <w:pPr>
        <w:pStyle w:val="Heading2"/>
        <w:spacing w:before="300" w:after="150"/>
      </w:pPr>
      <w:r>
        <w:rPr>
          <w:rFonts w:ascii="Georgia" w:cs="Georgia" w:eastAsia="Georgia" w:hAnsi="Georgia"/>
          <w:b/>
          <w:bCs/>
          <w:color w:val="1B5E20"/>
          <w:sz w:val="28"/>
          <w:szCs w:val="28"/>
        </w:rPr>
        <w:t xml:space="preserve">9.3 Revenue Projections (Ghana National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Conservative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Base Case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Optimistic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Enrolled Students (Year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4 million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6 million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8 million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Average Weekly Fee (after subsidies)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$1.70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$1.85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Annual Revenue (40 weeks)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$240M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$408M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$592M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Operating Costs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$120M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$170M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$220M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Net 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$120M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$238M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$372M</w:t>
            </w:r>
          </w:p>
        </w:tc>
      </w:tr>
    </w:tbl>
    <w:p>
      <w:pPr>
        <w:spacing w:before="100"/>
      </w:pPr>
    </w:p>
    <w:p>
      <w:pPr>
        <w:spacing w:after="120" w:line="276"/>
        <w:jc w:val="left"/>
      </w:pPr>
      <w:r>
        <w:rPr>
          <w:rFonts w:ascii="Calibri" w:cs="Calibri" w:eastAsia="Calibri" w:hAnsi="Calibri"/>
          <w:color w:val="212121"/>
          <w:sz w:val="22"/>
          <w:szCs w:val="22"/>
        </w:rPr>
        <w:t xml:space="preserve">These projections assume a 3-year ramp to scale following the pilot. Actual figures will be refined through the feasibility study and pilot program data.</w:t>
      </w:r>
    </w:p>
    <w:p>
      <w:pPr>
        <w:pStyle w:val="Heading2"/>
        <w:spacing w:before="300" w:after="150"/>
      </w:pPr>
      <w:r>
        <w:rPr>
          <w:rFonts w:ascii="Georgia" w:cs="Georgia" w:eastAsia="Georgia" w:hAnsi="Georgia"/>
          <w:b/>
          <w:bCs/>
          <w:color w:val="1B5E20"/>
          <w:sz w:val="28"/>
          <w:szCs w:val="28"/>
        </w:rPr>
        <w:t xml:space="preserve">9.4 Cost Structure</w:t>
      </w:r>
    </w:p>
    <w:p>
      <w:pPr>
        <w:spacing w:after="120" w:line="276"/>
        <w:jc w:val="left"/>
      </w:pPr>
      <w:r>
        <w:rPr>
          <w:rFonts w:ascii="Calibri" w:cs="Calibri" w:eastAsia="Calibri" w:hAnsi="Calibri"/>
          <w:color w:val="212121"/>
          <w:sz w:val="22"/>
          <w:szCs w:val="22"/>
        </w:rPr>
        <w:t xml:space="preserve">Major cost categories include technology development and maintenance (AI models, platform infrastructure, content creation), hardware procurement and replacement (tablets, projectors, solar/battery systems), telecom data costs (negotiated zero-rating reduces but does not eliminate all costs), teacher training and support programs, field operations (maintenance visits, offline updates, hardware repair), administration and fund governance, and investor returns.</w:t>
      </w:r>
    </w:p>
    <w:p>
      <w:pPr>
        <w:pStyle w:val="Heading2"/>
        <w:spacing w:before="300" w:after="150"/>
      </w:pPr>
      <w:r>
        <w:rPr>
          <w:rFonts w:ascii="Georgia" w:cs="Georgia" w:eastAsia="Georgia" w:hAnsi="Georgia"/>
          <w:b/>
          <w:bCs/>
          <w:color w:val="1B5E20"/>
          <w:sz w:val="28"/>
          <w:szCs w:val="28"/>
        </w:rPr>
        <w:t xml:space="preserve">9.5 Revenue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Recipient</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Allocation</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Educational Fund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25–30%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Infrastructure, books, furniture, teacher supplements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UMOJA-ai Operations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30–35%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Technology, content, maintenance, support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Investors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15–20%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Return on investment (structured per agreement)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Telecom Partners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10–15%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Connectivity services, infrastructure expansion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Government Contribution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5–10%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Agreed contribution to national education budget</w:t>
            </w:r>
          </w:p>
        </w:tc>
      </w:tr>
    </w:tbl>
    <w:p>
      <w:r>
        <w:br w:type="page"/>
      </w:r>
    </w:p>
    <w:p>
      <w:pPr>
        <w:pStyle w:val="Heading1"/>
        <w:spacing w:before="400" w:after="200"/>
      </w:pPr>
      <w:r>
        <w:rPr>
          <w:rFonts w:ascii="Georgia" w:cs="Georgia" w:eastAsia="Georgia" w:hAnsi="Georgia"/>
          <w:b/>
          <w:bCs/>
          <w:color w:val="1B5E20"/>
          <w:sz w:val="36"/>
          <w:szCs w:val="36"/>
        </w:rPr>
        <w:t xml:space="preserve">10. Fund Governance &amp; Social Impact</w:t>
      </w:r>
    </w:p>
    <w:p>
      <w:pPr>
        <w:pStyle w:val="Heading2"/>
        <w:spacing w:before="300" w:after="150"/>
      </w:pPr>
      <w:r>
        <w:rPr>
          <w:rFonts w:ascii="Georgia" w:cs="Georgia" w:eastAsia="Georgia" w:hAnsi="Georgia"/>
          <w:b/>
          <w:bCs/>
          <w:color w:val="1B5E20"/>
          <w:sz w:val="28"/>
          <w:szCs w:val="28"/>
        </w:rPr>
        <w:t xml:space="preserve">10.1 The Educational Fund</w:t>
      </w:r>
    </w:p>
    <w:p>
      <w:pPr>
        <w:spacing w:after="120" w:line="276"/>
        <w:jc w:val="left"/>
      </w:pPr>
      <w:r>
        <w:rPr>
          <w:rFonts w:ascii="Calibri" w:cs="Calibri" w:eastAsia="Calibri" w:hAnsi="Calibri"/>
          <w:color w:val="212121"/>
          <w:sz w:val="22"/>
          <w:szCs w:val="22"/>
        </w:rPr>
        <w:t xml:space="preserve">A dedicated Educational Fund will be created from UMOJA-ai revenue. This fund represents a transformational element of the model: for the first time, the education system itself generates the income needed to sustain and improve its operations. The fund will finance school infrastructure improvements (buildings, furniture, sanitation, electricity), learning materials (textbooks, exercise books, laboratory equipment), teacher supplementary payments and professional development, scholarship programs for exceptional students, and technology upgrades and expansion.</w:t>
      </w:r>
    </w:p>
    <w:p>
      <w:pPr>
        <w:pStyle w:val="Heading2"/>
        <w:spacing w:before="300" w:after="150"/>
      </w:pPr>
      <w:r>
        <w:rPr>
          <w:rFonts w:ascii="Georgia" w:cs="Georgia" w:eastAsia="Georgia" w:hAnsi="Georgia"/>
          <w:b/>
          <w:bCs/>
          <w:color w:val="1B5E20"/>
          <w:sz w:val="28"/>
          <w:szCs w:val="28"/>
        </w:rPr>
        <w:t xml:space="preserve">10.2 Independent Administration</w:t>
      </w:r>
    </w:p>
    <w:p>
      <w:pPr>
        <w:spacing w:after="120" w:line="276"/>
        <w:jc w:val="left"/>
      </w:pPr>
      <w:r>
        <w:rPr>
          <w:rFonts w:ascii="Calibri" w:cs="Calibri" w:eastAsia="Calibri" w:hAnsi="Calibri"/>
          <w:color w:val="212121"/>
          <w:sz w:val="22"/>
          <w:szCs w:val="22"/>
        </w:rPr>
        <w:t xml:space="preserve">The fund will be administered by an independent company established specifically for this purpose. This entity will work closely with both the Government of Ghana and UMOJA-ai but will maintain operational independence to ensure transparent, accountable management of resources. Governance will include an independent board of directors with representation from government, UMOJA-ai, civil society, and education professionals, annual external audits published publicly, clear investment policies and disbursement procedures, and regular reporting to all stakeholders.</w:t>
      </w:r>
    </w:p>
    <w:p>
      <w:pPr>
        <w:pStyle w:val="Heading2"/>
        <w:spacing w:before="300" w:after="150"/>
      </w:pPr>
      <w:r>
        <w:rPr>
          <w:rFonts w:ascii="Georgia" w:cs="Georgia" w:eastAsia="Georgia" w:hAnsi="Georgia"/>
          <w:b/>
          <w:bCs/>
          <w:color w:val="1B5E20"/>
          <w:sz w:val="28"/>
          <w:szCs w:val="28"/>
        </w:rPr>
        <w:t xml:space="preserve">10.3 Social Impact Metrics</w:t>
      </w:r>
    </w:p>
    <w:p>
      <w:pPr>
        <w:spacing w:after="120" w:line="276"/>
        <w:jc w:val="left"/>
      </w:pPr>
      <w:r>
        <w:rPr>
          <w:rFonts w:ascii="Calibri" w:cs="Calibri" w:eastAsia="Calibri" w:hAnsi="Calibri"/>
          <w:color w:val="212121"/>
          <w:sz w:val="22"/>
          <w:szCs w:val="22"/>
        </w:rPr>
        <w:t xml:space="preserve">Beyond financial returns, UMOJA-ai commits to measuring and reporting on learning outcome improvements across all deployed schools, dropout rate reductions, gender parity in enrollment and achievement, rural-urban achievement gap narrowing, teacher satisfaction and professional development outcomes, and infrastructure improvements funded by the Educational Fund.</w:t>
      </w:r>
    </w:p>
    <w:p>
      <w:r>
        <w:br w:type="page"/>
      </w:r>
    </w:p>
    <w:p>
      <w:pPr>
        <w:pStyle w:val="Heading1"/>
        <w:spacing w:before="400" w:after="200"/>
      </w:pPr>
      <w:r>
        <w:rPr>
          <w:rFonts w:ascii="Georgia" w:cs="Georgia" w:eastAsia="Georgia" w:hAnsi="Georgia"/>
          <w:b/>
          <w:bCs/>
          <w:color w:val="1B5E20"/>
          <w:sz w:val="36"/>
          <w:szCs w:val="36"/>
        </w:rPr>
        <w:t xml:space="preserve">11. Rollout Strategy: Ghana to Pan-Africa</w:t>
      </w:r>
    </w:p>
    <w:p>
      <w:pPr>
        <w:pStyle w:val="Heading2"/>
        <w:spacing w:before="300" w:after="150"/>
      </w:pPr>
      <w:r>
        <w:rPr>
          <w:rFonts w:ascii="Georgia" w:cs="Georgia" w:eastAsia="Georgia" w:hAnsi="Georgia"/>
          <w:b/>
          <w:bCs/>
          <w:color w:val="1B5E20"/>
          <w:sz w:val="28"/>
          <w:szCs w:val="28"/>
        </w:rPr>
        <w:t xml:space="preserve">11.1 Phase 1: Ghana Pilot (Months 1–12)</w:t>
      </w:r>
    </w:p>
    <w:p>
      <w:pPr>
        <w:spacing w:after="120" w:line="276"/>
        <w:jc w:val="left"/>
      </w:pPr>
      <w:r>
        <w:rPr>
          <w:rFonts w:ascii="Calibri" w:cs="Calibri" w:eastAsia="Calibri" w:hAnsi="Calibri"/>
          <w:color w:val="212121"/>
          <w:sz w:val="22"/>
          <w:szCs w:val="22"/>
        </w:rPr>
        <w:t xml:space="preserve">Deploy to 15 schools in major urban centers. Conduct feasibility study. Validate technology, pedagogy, and financial model. Build evidence base. Secure government MoU and telecom partnerships.</w:t>
      </w:r>
    </w:p>
    <w:p>
      <w:pPr>
        <w:pStyle w:val="Heading2"/>
        <w:spacing w:before="300" w:after="150"/>
      </w:pPr>
      <w:r>
        <w:rPr>
          <w:rFonts w:ascii="Georgia" w:cs="Georgia" w:eastAsia="Georgia" w:hAnsi="Georgia"/>
          <w:b/>
          <w:bCs/>
          <w:color w:val="1B5E20"/>
          <w:sz w:val="28"/>
          <w:szCs w:val="28"/>
        </w:rPr>
        <w:t xml:space="preserve">11.2 Phase 2: Ghana National Expansion (Months 12–36)</w:t>
      </w:r>
    </w:p>
    <w:p>
      <w:pPr>
        <w:spacing w:after="120" w:line="276"/>
        <w:jc w:val="left"/>
      </w:pPr>
      <w:r>
        <w:rPr>
          <w:rFonts w:ascii="Calibri" w:cs="Calibri" w:eastAsia="Calibri" w:hAnsi="Calibri"/>
          <w:color w:val="212121"/>
          <w:sz w:val="22"/>
          <w:szCs w:val="22"/>
        </w:rPr>
        <w:t xml:space="preserve">Scale from 15 schools to district-wide coverage in pilot regions. Begin rollout to peri-urban and rural schools. Refine subsidy mechanisms based on pilot data. Establish the Educational Fund and independent administration. Introduce mobile phone access channels.</w:t>
      </w:r>
    </w:p>
    <w:p>
      <w:pPr>
        <w:pStyle w:val="Heading2"/>
        <w:spacing w:before="300" w:after="150"/>
      </w:pPr>
      <w:r>
        <w:rPr>
          <w:rFonts w:ascii="Georgia" w:cs="Georgia" w:eastAsia="Georgia" w:hAnsi="Georgia"/>
          <w:b/>
          <w:bCs/>
          <w:color w:val="1B5E20"/>
          <w:sz w:val="28"/>
          <w:szCs w:val="28"/>
        </w:rPr>
        <w:t xml:space="preserve">11.3 Phase 3: Ghana Full Coverage (Months 36–60)</w:t>
      </w:r>
    </w:p>
    <w:p>
      <w:pPr>
        <w:spacing w:after="120" w:line="276"/>
        <w:jc w:val="left"/>
      </w:pPr>
      <w:r>
        <w:rPr>
          <w:rFonts w:ascii="Calibri" w:cs="Calibri" w:eastAsia="Calibri" w:hAnsi="Calibri"/>
          <w:color w:val="212121"/>
          <w:sz w:val="22"/>
          <w:szCs w:val="22"/>
        </w:rPr>
        <w:t xml:space="preserve">Achieve nationwide coverage across all Primary, JHS, and SHS institutions. Introduce local language support (Twi, Ewe, Dagbani, Ga). Demonstrate full financial self-sufficiency. Begin sharing model documentation with target expansion countries.</w:t>
      </w:r>
    </w:p>
    <w:p>
      <w:pPr>
        <w:pStyle w:val="Heading2"/>
        <w:spacing w:before="300" w:after="150"/>
      </w:pPr>
      <w:r>
        <w:rPr>
          <w:rFonts w:ascii="Georgia" w:cs="Georgia" w:eastAsia="Georgia" w:hAnsi="Georgia"/>
          <w:b/>
          <w:bCs/>
          <w:color w:val="1B5E20"/>
          <w:sz w:val="28"/>
          <w:szCs w:val="28"/>
        </w:rPr>
        <w:t xml:space="preserve">11.4 Phase 4: Pan-African Expansion (Months 48–96+)</w:t>
      </w:r>
    </w:p>
    <w:p>
      <w:pPr>
        <w:spacing w:after="120" w:line="276"/>
        <w:jc w:val="left"/>
      </w:pPr>
      <w:r>
        <w:rPr>
          <w:rFonts w:ascii="Calibri" w:cs="Calibri" w:eastAsia="Calibri" w:hAnsi="Calibri"/>
          <w:color w:val="212121"/>
          <w:sz w:val="22"/>
          <w:szCs w:val="22"/>
        </w:rPr>
        <w:t xml:space="preserve">Replicate the three-party model in Anglophone West Africa (Nigeria, Sierra Leone, The Gambia). Adapt platform for East African markets (Kenya, Tanzania, Uganda). Develop Francophone content for Senegal, Côte d’Ivoire, Cameroon. Each country deployment will follow the same pilot-to-scale methodology, adapted for local curriculum, language, culture, and regulatory requirements.</w:t>
      </w:r>
    </w:p>
    <w:p>
      <w:r>
        <w:br w:type="page"/>
      </w:r>
    </w:p>
    <w:p>
      <w:pPr>
        <w:pStyle w:val="Heading1"/>
        <w:spacing w:before="400" w:after="200"/>
      </w:pPr>
      <w:r>
        <w:rPr>
          <w:rFonts w:ascii="Georgia" w:cs="Georgia" w:eastAsia="Georgia" w:hAnsi="Georgia"/>
          <w:b/>
          <w:bCs/>
          <w:color w:val="1B5E20"/>
          <w:sz w:val="36"/>
          <w:szCs w:val="36"/>
        </w:rPr>
        <w:t xml:space="preserve">12.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Political instability or government change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Low (Ghana)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Structure agreements across parties; embed in education law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Telecom partner withdrawal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Multi-operator strategy; no single-telco dependency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Fee collection shortfalls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Mobile money automation; community engagement; subsidy buffer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Technology failure or AI inaccuracy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Rigorous testing; teacher override capability; offline fallback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Community resistance to AI teaching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Extensive community engagement; teacher-led model; religious advisor panels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Data privacy breach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National data sovereignty; encryption; independent audits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Currency fluctuation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Local currency pricing; hedging strategies; cost controls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Electricity/solar system failure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Redundant power; local repair networks; warranty programs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Regulatory changes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Proactive government engagement; flexible compliance architecture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Competition from other edtech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First-mover advantage; government partnership; offline capability</w:t>
            </w:r>
          </w:p>
        </w:tc>
      </w:tr>
    </w:tbl>
    <w:p>
      <w:r>
        <w:br w:type="page"/>
      </w:r>
    </w:p>
    <w:p>
      <w:pPr>
        <w:pStyle w:val="Heading1"/>
        <w:spacing w:before="400" w:after="200"/>
      </w:pPr>
      <w:r>
        <w:rPr>
          <w:rFonts w:ascii="Georgia" w:cs="Georgia" w:eastAsia="Georgia" w:hAnsi="Georgia"/>
          <w:b/>
          <w:bCs/>
          <w:color w:val="1B5E20"/>
          <w:sz w:val="36"/>
          <w:szCs w:val="36"/>
        </w:rPr>
        <w:t xml:space="preserve">13. Key Performance Indicators</w:t>
      </w:r>
    </w:p>
    <w:p>
      <w:pPr>
        <w:pStyle w:val="Heading2"/>
        <w:spacing w:before="300" w:after="150"/>
      </w:pPr>
      <w:r>
        <w:rPr>
          <w:rFonts w:ascii="Georgia" w:cs="Georgia" w:eastAsia="Georgia" w:hAnsi="Georgia"/>
          <w:b/>
          <w:bCs/>
          <w:color w:val="1B5E20"/>
          <w:sz w:val="28"/>
          <w:szCs w:val="28"/>
        </w:rPr>
        <w:t xml:space="preserve">13.1 Must-Win Outcomes (Year 1)</w:t>
      </w:r>
    </w:p>
    <w:p>
      <w:pPr>
        <w:spacing w:after="120" w:line="276"/>
        <w:jc w:val="left"/>
      </w:pPr>
      <w:r>
        <w:rPr>
          <w:rFonts w:ascii="Calibri" w:cs="Calibri" w:eastAsia="Calibri" w:hAnsi="Calibri"/>
          <w:color w:val="212121"/>
          <w:sz w:val="22"/>
          <w:szCs w:val="22"/>
        </w:rPr>
        <w:t xml:space="preserve">The three primary KPIs that will determine whether the pilot is declared a success are: measurable literacy gains versus control schools (target: 15–20% improvement), reduced dropout rates (target: 30% reduction versus baseline), and improved examination results in BECE and WASSCE scores. These three metrics were selected because they represent the most meaningful measures of whether UMOJA-ai is achieving its core mission of improving educational outcomes.</w:t>
      </w:r>
    </w:p>
    <w:p>
      <w:pPr>
        <w:pStyle w:val="Heading2"/>
        <w:spacing w:before="300" w:after="150"/>
      </w:pPr>
      <w:r>
        <w:rPr>
          <w:rFonts w:ascii="Georgia" w:cs="Georgia" w:eastAsia="Georgia" w:hAnsi="Georgia"/>
          <w:b/>
          <w:bCs/>
          <w:color w:val="1B5E20"/>
          <w:sz w:val="28"/>
          <w:szCs w:val="28"/>
        </w:rPr>
        <w:t xml:space="preserve">13.2 Secondary KPIs</w:t>
      </w:r>
    </w:p>
    <w:p>
      <w:pPr>
        <w:spacing w:after="120" w:line="276"/>
        <w:jc w:val="left"/>
      </w:pPr>
      <w:r>
        <w:rPr>
          <w:rFonts w:ascii="Calibri" w:cs="Calibri" w:eastAsia="Calibri" w:hAnsi="Calibri"/>
          <w:color w:val="212121"/>
          <w:sz w:val="22"/>
          <w:szCs w:val="22"/>
        </w:rPr>
        <w:t xml:space="preserve">Additional metrics tracked include: daily attendance rates, teacher engagement scores, average lesson completion rates, system uptime and reliability, fee collection efficiency, student-to-system interaction quality, and parent/community satisfaction scores.</w:t>
      </w:r>
    </w:p>
    <w:p>
      <w:pPr>
        <w:pStyle w:val="Heading2"/>
        <w:spacing w:before="300" w:after="150"/>
      </w:pPr>
      <w:r>
        <w:rPr>
          <w:rFonts w:ascii="Georgia" w:cs="Georgia" w:eastAsia="Georgia" w:hAnsi="Georgia"/>
          <w:b/>
          <w:bCs/>
          <w:color w:val="1B5E20"/>
          <w:sz w:val="28"/>
          <w:szCs w:val="28"/>
        </w:rPr>
        <w:t xml:space="preserve">13.3 Long-Term Impact Indicators</w:t>
      </w:r>
    </w:p>
    <w:p>
      <w:pPr>
        <w:spacing w:after="120" w:line="276"/>
        <w:jc w:val="left"/>
      </w:pPr>
      <w:r>
        <w:rPr>
          <w:rFonts w:ascii="Calibri" w:cs="Calibri" w:eastAsia="Calibri" w:hAnsi="Calibri"/>
          <w:color w:val="212121"/>
          <w:sz w:val="22"/>
          <w:szCs w:val="22"/>
        </w:rPr>
        <w:t xml:space="preserve">Over 3–5 years, UMOJA-ai will track: national examination pass rate trends, school-to-work transition rates, gender parity indices, rural-urban achievement gap trends, and Educational Fund disbursement impact.</w:t>
      </w:r>
    </w:p>
    <w:p>
      <w:r>
        <w:br w:type="page"/>
      </w:r>
    </w:p>
    <w:p>
      <w:pPr>
        <w:pStyle w:val="Heading1"/>
        <w:spacing w:before="400" w:after="200"/>
      </w:pPr>
      <w:r>
        <w:rPr>
          <w:rFonts w:ascii="Georgia" w:cs="Georgia" w:eastAsia="Georgia" w:hAnsi="Georgia"/>
          <w:b/>
          <w:bCs/>
          <w:color w:val="1B5E20"/>
          <w:sz w:val="36"/>
          <w:szCs w:val="36"/>
        </w:rPr>
        <w:t xml:space="preserve">14. Team &amp; Governance Requirements</w:t>
      </w:r>
    </w:p>
    <w:p>
      <w:pPr>
        <w:spacing w:after="120" w:line="276"/>
        <w:jc w:val="left"/>
      </w:pPr>
      <w:r>
        <w:rPr>
          <w:rFonts w:ascii="Calibri" w:cs="Calibri" w:eastAsia="Calibri" w:hAnsi="Calibri"/>
          <w:color w:val="212121"/>
          <w:sz w:val="22"/>
          <w:szCs w:val="22"/>
        </w:rPr>
        <w:t xml:space="preserve">Successful execution requires assembling leadership across technology, education, government relations, and finance. Key roles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Responsibility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Profile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CEO / Founder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Vision, strategy, stakeholder relationships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Education or tech leadership with Africa experience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CTO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Platform development, AI systems, infrastructure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AI/ML engineering with scalable system experience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Head of Education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Curriculum development, teacher training, assessment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Senior educator with West African curriculum expertise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Head of Government Relations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MoE/GES/NaCCA/NCA partnerships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Former government official or experienced lobbyist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Head of Telecom Partnerships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Telco negotiations, connectivity operations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Senior telecom executive with Ghana market knowledge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CFO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Financial management, investor relations, fund governance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Finance professional with emerging market experience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Head of Field Operations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Deployment, maintenance, community engagement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Operations leader with rural Africa experience</w:t>
            </w:r>
          </w:p>
        </w:tc>
      </w:tr>
    </w:tbl>
    <w:p>
      <w:pPr>
        <w:spacing w:before="100"/>
      </w:pPr>
    </w:p>
    <w:p>
      <w:pPr>
        <w:spacing w:after="120" w:line="276"/>
        <w:jc w:val="left"/>
      </w:pPr>
      <w:r>
        <w:rPr>
          <w:rFonts w:ascii="Calibri" w:cs="Calibri" w:eastAsia="Calibri" w:hAnsi="Calibri"/>
          <w:color w:val="212121"/>
          <w:sz w:val="22"/>
          <w:szCs w:val="22"/>
        </w:rPr>
        <w:t xml:space="preserve">An Advisory Board should include representatives from Ghana’s education sector, telecom industry, religious communities (both Christian and Muslim), and international development organizations.</w:t>
      </w:r>
    </w:p>
    <w:p>
      <w:r>
        <w:br w:type="page"/>
      </w:r>
    </w:p>
    <w:p>
      <w:pPr>
        <w:pStyle w:val="Heading1"/>
        <w:spacing w:before="400" w:after="200"/>
      </w:pPr>
      <w:r>
        <w:rPr>
          <w:rFonts w:ascii="Georgia" w:cs="Georgia" w:eastAsia="Georgia" w:hAnsi="Georgia"/>
          <w:b/>
          <w:bCs/>
          <w:color w:val="1B5E20"/>
          <w:sz w:val="36"/>
          <w:szCs w:val="36"/>
        </w:rPr>
        <w:t xml:space="preserve">15. Investment Ask &amp; Returns</w:t>
      </w:r>
    </w:p>
    <w:p>
      <w:pPr>
        <w:pStyle w:val="Heading2"/>
        <w:spacing w:before="300" w:after="150"/>
      </w:pPr>
      <w:r>
        <w:rPr>
          <w:rFonts w:ascii="Georgia" w:cs="Georgia" w:eastAsia="Georgia" w:hAnsi="Georgia"/>
          <w:b/>
          <w:bCs/>
          <w:color w:val="1B5E20"/>
          <w:sz w:val="28"/>
          <w:szCs w:val="28"/>
        </w:rPr>
        <w:t xml:space="preserve">15.1 Funding Requirements</w:t>
      </w:r>
    </w:p>
    <w:p>
      <w:pPr>
        <w:spacing w:after="120" w:line="276"/>
        <w:jc w:val="left"/>
      </w:pPr>
      <w:r>
        <w:rPr>
          <w:rFonts w:ascii="Calibri" w:cs="Calibri" w:eastAsia="Calibri" w:hAnsi="Calibri"/>
          <w:color w:val="212121"/>
          <w:sz w:val="22"/>
          <w:szCs w:val="22"/>
        </w:rPr>
        <w:t xml:space="preserve">UMOJA-ai seeks seed and Series A capital to fund the following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Use of Funds</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Estimated Cost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Pre-Pilot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Feasibility study, team assembly, technology prototype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$2–3 million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Pilot (15 schools)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Hardware, deployment, operations, teacher training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$5–8 million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Ghana Scale-Up (Year 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National expansion, fund establishment, telecom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$25–40 million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Pan-African Preparation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Multi-country adaptation, partnerships, regulatory approvals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$15–25 million</w:t>
            </w:r>
          </w:p>
        </w:tc>
      </w:tr>
    </w:tbl>
    <w:p>
      <w:pPr>
        <w:spacing w:before="100"/>
      </w:pPr>
    </w:p>
    <w:p>
      <w:pPr>
        <w:pStyle w:val="Heading2"/>
        <w:spacing w:before="300" w:after="150"/>
      </w:pPr>
      <w:r>
        <w:rPr>
          <w:rFonts w:ascii="Georgia" w:cs="Georgia" w:eastAsia="Georgia" w:hAnsi="Georgia"/>
          <w:b/>
          <w:bCs/>
          <w:color w:val="1B5E20"/>
          <w:sz w:val="28"/>
          <w:szCs w:val="28"/>
        </w:rPr>
        <w:t xml:space="preserve">15.2 Return Structure</w:t>
      </w:r>
    </w:p>
    <w:p>
      <w:pPr>
        <w:spacing w:after="120" w:line="276"/>
        <w:jc w:val="left"/>
      </w:pPr>
      <w:r>
        <w:rPr>
          <w:rFonts w:ascii="Calibri" w:cs="Calibri" w:eastAsia="Calibri" w:hAnsi="Calibri"/>
          <w:color w:val="212121"/>
          <w:sz w:val="22"/>
          <w:szCs w:val="22"/>
        </w:rPr>
        <w:t xml:space="preserve">Investor returns will be structured through revenue-sharing agreements. The exact terms will be negotiated, but the model’s revenue projections demonstrate a clear path to profitability within 24–36 months of Ghana national rollout. The continental opportunity—400+ million school-age children—represents a venture-scale return with deep social impact.</w:t>
      </w:r>
    </w:p>
    <w:p>
      <w:pPr>
        <w:pStyle w:val="Heading2"/>
        <w:spacing w:before="300" w:after="150"/>
      </w:pPr>
      <w:r>
        <w:rPr>
          <w:rFonts w:ascii="Georgia" w:cs="Georgia" w:eastAsia="Georgia" w:hAnsi="Georgia"/>
          <w:b/>
          <w:bCs/>
          <w:color w:val="1B5E20"/>
          <w:sz w:val="28"/>
          <w:szCs w:val="28"/>
        </w:rPr>
        <w:t xml:space="preserve">15.3 Government Revenue Timeline</w:t>
      </w:r>
    </w:p>
    <w:p>
      <w:pPr>
        <w:spacing w:after="120" w:line="276"/>
        <w:jc w:val="left"/>
      </w:pPr>
      <w:r>
        <w:rPr>
          <w:rFonts w:ascii="Calibri" w:cs="Calibri" w:eastAsia="Calibri" w:hAnsi="Calibri"/>
          <w:color w:val="212121"/>
          <w:sz w:val="22"/>
          <w:szCs w:val="22"/>
        </w:rPr>
        <w:t xml:space="preserve">Agreements will be established regarding when the Government of Ghana begins receiving its share of revenue outside of the Educational Fund. This timeline will be structured to allow investors a reasonable return period before government revenue-sharing commences at the agreed rate.</w:t>
      </w:r>
    </w:p>
    <w:p>
      <w:r>
        <w:br w:type="page"/>
      </w:r>
    </w:p>
    <w:p>
      <w:pPr>
        <w:pStyle w:val="Heading1"/>
        <w:spacing w:before="400" w:after="200"/>
      </w:pPr>
      <w:r>
        <w:rPr>
          <w:rFonts w:ascii="Georgia" w:cs="Georgia" w:eastAsia="Georgia" w:hAnsi="Georgia"/>
          <w:b/>
          <w:bCs/>
          <w:color w:val="1B5E20"/>
          <w:sz w:val="36"/>
          <w:szCs w:val="36"/>
        </w:rPr>
        <w:t xml:space="preserve">16. Appendices</w:t>
      </w:r>
    </w:p>
    <w:p>
      <w:pPr>
        <w:pStyle w:val="Heading2"/>
        <w:spacing w:before="300" w:after="150"/>
      </w:pPr>
      <w:r>
        <w:rPr>
          <w:rFonts w:ascii="Georgia" w:cs="Georgia" w:eastAsia="Georgia" w:hAnsi="Georgia"/>
          <w:b/>
          <w:bCs/>
          <w:color w:val="1B5E20"/>
          <w:sz w:val="28"/>
          <w:szCs w:val="28"/>
        </w:rPr>
        <w:t xml:space="preserve">Appendix A: Key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Calibri" w:cs="Calibri" w:eastAsia="Calibri" w:hAnsi="Calibri"/>
                <w:b/>
                <w:bCs/>
                <w:color w:val="FFFFFF"/>
                <w:sz w:val="20"/>
                <w:szCs w:val="20"/>
              </w:rPr>
              <w:t xml:space="preserve">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Sub-Saharan Africa learning poverty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~90%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UNICEF / World Bank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Teachers needed in SSA by 2030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5.4 million (primary) / 15 million (all levels)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UNESCO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Ghana school-age population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~12 million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Government of Ghana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Ghana children out of school (2021)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~995,000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World Bank / Statista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Ghana primary proficiency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19–25%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Ghana NEA 2018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Ghana education spend (% GDP)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&gt;6%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Ministry of Education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Ghana mobile penetration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113% (38.95M connections)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GSMA Intelligence 2024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Ghana mobile money penetration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67%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Industry reports 2024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Ghana telecom market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~$2.5 billion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Industry reports 2024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Global AI in education market (2030)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$32.27 billion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Reports Insights 2024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Income boost per year of education (SSA)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12.4% (14.5% for women)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12121"/>
                <w:sz w:val="20"/>
                <w:szCs w:val="20"/>
              </w:rPr>
              <w:t xml:space="preserve">World Bank</w:t>
            </w:r>
          </w:p>
        </w:tc>
      </w:tr>
    </w:tbl>
    <w:p>
      <w:pPr>
        <w:spacing w:before="200"/>
      </w:pPr>
    </w:p>
    <w:p>
      <w:pPr>
        <w:pStyle w:val="Heading2"/>
        <w:spacing w:before="300" w:after="150"/>
      </w:pPr>
      <w:r>
        <w:rPr>
          <w:rFonts w:ascii="Georgia" w:cs="Georgia" w:eastAsia="Georgia" w:hAnsi="Georgia"/>
          <w:b/>
          <w:bCs/>
          <w:color w:val="1B5E20"/>
          <w:sz w:val="28"/>
          <w:szCs w:val="28"/>
        </w:rPr>
        <w:t xml:space="preserve">Appendix B: Glossary</w:t>
      </w:r>
    </w:p>
    <w:p>
      <w:pPr>
        <w:spacing w:after="120" w:line="276"/>
      </w:pPr>
      <w:r>
        <w:rPr>
          <w:rFonts w:ascii="Calibri" w:cs="Calibri" w:eastAsia="Calibri" w:hAnsi="Calibri"/>
          <w:b/>
          <w:bCs/>
          <w:color w:val="212121"/>
          <w:sz w:val="22"/>
          <w:szCs w:val="22"/>
        </w:rPr>
        <w:t xml:space="preserve">BECE: </w:t>
      </w:r>
      <w:r>
        <w:rPr>
          <w:rFonts w:ascii="Calibri" w:cs="Calibri" w:eastAsia="Calibri" w:hAnsi="Calibri"/>
          <w:color w:val="212121"/>
          <w:sz w:val="22"/>
          <w:szCs w:val="22"/>
        </w:rPr>
        <w:t xml:space="preserve">Basic Education Certificate Examination</w:t>
      </w:r>
    </w:p>
    <w:p>
      <w:pPr>
        <w:spacing w:after="120" w:line="276"/>
      </w:pPr>
      <w:r>
        <w:rPr>
          <w:rFonts w:ascii="Calibri" w:cs="Calibri" w:eastAsia="Calibri" w:hAnsi="Calibri"/>
          <w:b/>
          <w:bCs/>
          <w:color w:val="212121"/>
          <w:sz w:val="22"/>
          <w:szCs w:val="22"/>
        </w:rPr>
        <w:t xml:space="preserve">GES: </w:t>
      </w:r>
      <w:r>
        <w:rPr>
          <w:rFonts w:ascii="Calibri" w:cs="Calibri" w:eastAsia="Calibri" w:hAnsi="Calibri"/>
          <w:color w:val="212121"/>
          <w:sz w:val="22"/>
          <w:szCs w:val="22"/>
        </w:rPr>
        <w:t xml:space="preserve">Ghana Education Service</w:t>
      </w:r>
    </w:p>
    <w:p>
      <w:pPr>
        <w:spacing w:after="120" w:line="276"/>
      </w:pPr>
      <w:r>
        <w:rPr>
          <w:rFonts w:ascii="Calibri" w:cs="Calibri" w:eastAsia="Calibri" w:hAnsi="Calibri"/>
          <w:b/>
          <w:bCs/>
          <w:color w:val="212121"/>
          <w:sz w:val="22"/>
          <w:szCs w:val="22"/>
        </w:rPr>
        <w:t xml:space="preserve">JHS: </w:t>
      </w:r>
      <w:r>
        <w:rPr>
          <w:rFonts w:ascii="Calibri" w:cs="Calibri" w:eastAsia="Calibri" w:hAnsi="Calibri"/>
          <w:color w:val="212121"/>
          <w:sz w:val="22"/>
          <w:szCs w:val="22"/>
        </w:rPr>
        <w:t xml:space="preserve">Junior High School</w:t>
      </w:r>
    </w:p>
    <w:p>
      <w:pPr>
        <w:spacing w:after="120" w:line="276"/>
      </w:pPr>
      <w:r>
        <w:rPr>
          <w:rFonts w:ascii="Calibri" w:cs="Calibri" w:eastAsia="Calibri" w:hAnsi="Calibri"/>
          <w:b/>
          <w:bCs/>
          <w:color w:val="212121"/>
          <w:sz w:val="22"/>
          <w:szCs w:val="22"/>
        </w:rPr>
        <w:t xml:space="preserve">MoE: </w:t>
      </w:r>
      <w:r>
        <w:rPr>
          <w:rFonts w:ascii="Calibri" w:cs="Calibri" w:eastAsia="Calibri" w:hAnsi="Calibri"/>
          <w:color w:val="212121"/>
          <w:sz w:val="22"/>
          <w:szCs w:val="22"/>
        </w:rPr>
        <w:t xml:space="preserve">Ministry of Education</w:t>
      </w:r>
    </w:p>
    <w:p>
      <w:pPr>
        <w:spacing w:after="120" w:line="276"/>
      </w:pPr>
      <w:r>
        <w:rPr>
          <w:rFonts w:ascii="Calibri" w:cs="Calibri" w:eastAsia="Calibri" w:hAnsi="Calibri"/>
          <w:b/>
          <w:bCs/>
          <w:color w:val="212121"/>
          <w:sz w:val="22"/>
          <w:szCs w:val="22"/>
        </w:rPr>
        <w:t xml:space="preserve">NaCCA: </w:t>
      </w:r>
      <w:r>
        <w:rPr>
          <w:rFonts w:ascii="Calibri" w:cs="Calibri" w:eastAsia="Calibri" w:hAnsi="Calibri"/>
          <w:color w:val="212121"/>
          <w:sz w:val="22"/>
          <w:szCs w:val="22"/>
        </w:rPr>
        <w:t xml:space="preserve">National Council for Curriculum and Assessment</w:t>
      </w:r>
    </w:p>
    <w:p>
      <w:pPr>
        <w:spacing w:after="120" w:line="276"/>
      </w:pPr>
      <w:r>
        <w:rPr>
          <w:rFonts w:ascii="Calibri" w:cs="Calibri" w:eastAsia="Calibri" w:hAnsi="Calibri"/>
          <w:b/>
          <w:bCs/>
          <w:color w:val="212121"/>
          <w:sz w:val="22"/>
          <w:szCs w:val="22"/>
        </w:rPr>
        <w:t xml:space="preserve">NCA: </w:t>
      </w:r>
      <w:r>
        <w:rPr>
          <w:rFonts w:ascii="Calibri" w:cs="Calibri" w:eastAsia="Calibri" w:hAnsi="Calibri"/>
          <w:color w:val="212121"/>
          <w:sz w:val="22"/>
          <w:szCs w:val="22"/>
        </w:rPr>
        <w:t xml:space="preserve">National Communications Authority</w:t>
      </w:r>
    </w:p>
    <w:p>
      <w:pPr>
        <w:spacing w:after="120" w:line="276"/>
      </w:pPr>
      <w:r>
        <w:rPr>
          <w:rFonts w:ascii="Calibri" w:cs="Calibri" w:eastAsia="Calibri" w:hAnsi="Calibri"/>
          <w:b/>
          <w:bCs/>
          <w:color w:val="212121"/>
          <w:sz w:val="22"/>
          <w:szCs w:val="22"/>
        </w:rPr>
        <w:t xml:space="preserve">SHS: </w:t>
      </w:r>
      <w:r>
        <w:rPr>
          <w:rFonts w:ascii="Calibri" w:cs="Calibri" w:eastAsia="Calibri" w:hAnsi="Calibri"/>
          <w:color w:val="212121"/>
          <w:sz w:val="22"/>
          <w:szCs w:val="22"/>
        </w:rPr>
        <w:t xml:space="preserve">Senior High School</w:t>
      </w:r>
    </w:p>
    <w:p>
      <w:pPr>
        <w:spacing w:after="120" w:line="276"/>
      </w:pPr>
      <w:r>
        <w:rPr>
          <w:rFonts w:ascii="Calibri" w:cs="Calibri" w:eastAsia="Calibri" w:hAnsi="Calibri"/>
          <w:b/>
          <w:bCs/>
          <w:color w:val="212121"/>
          <w:sz w:val="22"/>
          <w:szCs w:val="22"/>
        </w:rPr>
        <w:t xml:space="preserve">WASSCE: </w:t>
      </w:r>
      <w:r>
        <w:rPr>
          <w:rFonts w:ascii="Calibri" w:cs="Calibri" w:eastAsia="Calibri" w:hAnsi="Calibri"/>
          <w:color w:val="212121"/>
          <w:sz w:val="22"/>
          <w:szCs w:val="22"/>
        </w:rPr>
        <w:t xml:space="preserve">West African Senior School Certificate Examination</w:t>
      </w:r>
    </w:p>
    <w:p>
      <w:pPr>
        <w:spacing w:after="120" w:line="276"/>
      </w:pPr>
      <w:r>
        <w:rPr>
          <w:rFonts w:ascii="Calibri" w:cs="Calibri" w:eastAsia="Calibri" w:hAnsi="Calibri"/>
          <w:b/>
          <w:bCs/>
          <w:color w:val="212121"/>
          <w:sz w:val="22"/>
          <w:szCs w:val="22"/>
        </w:rPr>
        <w:t xml:space="preserve">WAEC: </w:t>
      </w:r>
      <w:r>
        <w:rPr>
          <w:rFonts w:ascii="Calibri" w:cs="Calibri" w:eastAsia="Calibri" w:hAnsi="Calibri"/>
          <w:color w:val="212121"/>
          <w:sz w:val="22"/>
          <w:szCs w:val="22"/>
        </w:rPr>
        <w:t xml:space="preserve">West African Examinations Council</w:t>
      </w:r>
    </w:p>
    <w:p>
      <w:pPr>
        <w:spacing w:before="200"/>
      </w:pPr>
    </w:p>
    <w:p>
      <w:pPr>
        <w:jc w:val="center"/>
      </w:pPr>
      <w:r>
        <w:rPr>
          <w:rFonts w:ascii="Calibri" w:cs="Calibri" w:eastAsia="Calibri" w:hAnsi="Calibri"/>
          <w:i/>
          <w:iCs/>
          <w:color w:val="757575"/>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57575"/>
        <w:sz w:val="16"/>
        <w:szCs w:val="16"/>
      </w:rPr>
      <w:t xml:space="preserve">Page </w:t>
    </w:r>
    <w:r>
      <w:rPr>
        <w:rFonts w:ascii="Calibri" w:cs="Calibri" w:eastAsia="Calibri" w:hAnsi="Calibri"/>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57575"/>
        <w:sz w:val="16"/>
        <w:szCs w:val="16"/>
      </w:rPr>
      <w:t xml:space="preserve">UMOJA-ai  |  Business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B5E20"/>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1B5E2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2026-03-04T19:04:36.006Z</dcterms:created>
  <dcterms:modified xsi:type="dcterms:W3CDTF">2026-03-04T19:04:36.007Z</dcterms:modified>
</cp:coreProperties>
</file>

<file path=docProps/custom.xml><?xml version="1.0" encoding="utf-8"?>
<Properties xmlns="http://schemas.openxmlformats.org/officeDocument/2006/custom-properties" xmlns:vt="http://schemas.openxmlformats.org/officeDocument/2006/docPropsVTypes"/>
</file>