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Roboto" w:cs="Roboto" w:eastAsia="Roboto" w:hAnsi="Roboto"/>
          <w:sz w:val="24"/>
          <w:szCs w:val="24"/>
        </w:rPr>
      </w:pPr>
      <w:bookmarkStart w:colFirst="0" w:colLast="0" w:name="_tjotk6up1nl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EfficientNet: Rethinking Model Scaling for Convolutional Neural Networks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(TF)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Paper Publication Date: May,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Summary Notes by: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Ashvini Jindal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Contribution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Scaling ConvNets across each of depth, width, and resolution based on novel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Compound Scaling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technique. Existing approaches generally scale along one or more dimensions in non-systematic but not all three.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Proposed model is 8x smaller and 6x faster on inference, achieving the same performance as the SOTA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GPipe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Model.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Advantage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Much smaller models with faster inference and better performance (accuracy).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 NAS, obtain a family of models called EfficientNets.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EfficientNet variants: EfficientNet-B0 (Smallest model) to EfficientNet-B7 (Largest model)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find EfficientNet-B0: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 fix ɸ = 1 and find find 𝛼, 𝛽, and 𝛾 for EfficientNet-B0 architecture using grid search with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Obtain EfficientNet-B1 to EfficientNet-B7: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Change only ɸ value with (above) fixed 𝛼, 𝛽, and 𝛾 parameters. </w:t>
      </w: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Larger ɸ value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corresponds to a model with more parameters leading to various EfficientNet variants: see equation (2) below.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Intuitively, ɸ acts as user specified coefficient that controls how many resources are available (see equation (3) and (2) below)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EfficientNet-B0 is simply a scaled-ConvNet where model architecture is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similar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MnasNET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Biggest model (EfficientNet-B7) has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66M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parameters compared to the SOTA model (GPipe) with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560M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parameters without any performance dip on ImageNet dataset.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6aa84f" w:val="clear"/>
          <w:rtl w:val="0"/>
        </w:rPr>
        <w:t xml:space="preserve">Model transfers well on other 8 transfer learning classification datasets and achieves SOTA for 5 out of 8.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671264" cy="14227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264" cy="142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18323" cy="17287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323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8229600" cy="275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arxiv.org/abs/1807.11626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1811.06965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1905.11946.pdf" TargetMode="External"/><Relationship Id="rId7" Type="http://schemas.openxmlformats.org/officeDocument/2006/relationships/hyperlink" Target="https://github.com/tensorflow/tpu/tree/master/models/official/efficientnet" TargetMode="External"/><Relationship Id="rId8" Type="http://schemas.openxmlformats.org/officeDocument/2006/relationships/hyperlink" Target="https://www.linkedin.com/in/ashvini-jindal-2665326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