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17320" cy="1099735"/>
            <wp:docPr id="1" name="Picture 1"/>
            <wp:cNvGraphicFramePr>
              <a:graphicFrameLocks noChangeAspect="1"/>
            </wp:cNvGraphicFramePr>
            <a:graphic>
              <a:graphicData uri="http://schemas.openxmlformats.org/drawingml/2006/picture">
                <pic:pic>
                  <pic:nvPicPr>
                    <pic:cNvPr id="0" name="iimb_logo.png"/>
                    <pic:cNvPicPr/>
                  </pic:nvPicPr>
                  <pic:blipFill>
                    <a:blip r:embed="rId10"/>
                    <a:stretch>
                      <a:fillRect/>
                    </a:stretch>
                  </pic:blipFill>
                  <pic:spPr>
                    <a:xfrm>
                      <a:off x="0" y="0"/>
                      <a:ext cx="1417320" cy="1099735"/>
                    </a:xfrm>
                    <a:prstGeom prst="rect"/>
                  </pic:spPr>
                </pic:pic>
              </a:graphicData>
            </a:graphic>
          </wp:inline>
        </w:drawing>
      </w:r>
    </w:p>
    <w:p>
      <w:pPr>
        <w:spacing w:after="400" w:before="120"/>
        <w:jc w:val="center"/>
      </w:pPr>
      <w:r>
        <w:rPr>
          <w:b/>
          <w:color w:val="555555"/>
          <w:sz w:val="26"/>
        </w:rPr>
        <w:t>Indian Institute of Management Bangalore</w:t>
      </w:r>
    </w:p>
    <w:p>
      <w:pPr>
        <w:spacing w:after="80"/>
        <w:jc w:val="center"/>
      </w:pPr>
      <w:r>
        <w:rPr>
          <w:b/>
          <w:color w:val="7A1E2E"/>
          <w:sz w:val="54"/>
        </w:rPr>
        <w:t>GoodBelly: Case Report</w:t>
      </w:r>
    </w:p>
    <w:p>
      <w:pPr>
        <w:spacing w:after="520"/>
        <w:jc w:val="center"/>
      </w:pPr>
      <w:r>
        <w:rPr>
          <w:b w:val="0"/>
          <w:i/>
          <w:color w:val="333333"/>
          <w:sz w:val="28"/>
        </w:rPr>
        <w:t>Using Statistics to Justify the Marketing Expense</w:t>
      </w:r>
    </w:p>
    <w:p>
      <w:pPr>
        <w:spacing w:after="60"/>
        <w:jc w:val="center"/>
      </w:pPr>
      <w:r>
        <w:rPr>
          <w:b w:val="0"/>
          <w:color w:val="333333"/>
          <w:sz w:val="24"/>
        </w:rPr>
        <w:t>Decision Sciences II  |  PGP 2026–28</w:t>
      </w:r>
    </w:p>
    <w:p>
      <w:pPr>
        <w:spacing w:after="440"/>
        <w:jc w:val="center"/>
      </w:pPr>
      <w:r>
        <w:rPr>
          <w:b w:val="0"/>
          <w:color w:val="333333"/>
          <w:sz w:val="24"/>
        </w:rPr>
        <w:t>Submitted to: Prof. Rajluxmi Murthy</w:t>
      </w:r>
    </w:p>
    <w:p>
      <w:pPr>
        <w:spacing w:after="120"/>
        <w:jc w:val="center"/>
      </w:pPr>
      <w:r>
        <w:rPr>
          <w:b/>
          <w:color w:val="333333"/>
          <w:sz w:val="26"/>
        </w:rPr>
        <w:t>Section E, Group 15</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320"/>
        <w:gridCol w:w="2592"/>
      </w:tblGrid>
      <w:tr>
        <w:trPr>
          <w:tblHeader w:val="true"/>
          <w:cantSplit w:val="true"/>
        </w:trPr>
        <w:tc>
          <w:tcPr>
            <w:tcW w:type="dxa" w:w="4320"/>
            <w:shd w:val="clear" w:color="auto" w:fill="6B1B28"/>
          </w:tcPr>
          <w:p>
            <w:pPr>
              <w:keepNext/>
              <w:spacing w:after="0" w:line="240" w:lineRule="auto"/>
              <w:jc w:val="left"/>
            </w:pPr>
            <w:r>
              <w:rPr>
                <w:b/>
                <w:color w:val="FFFFFF"/>
                <w:sz w:val="22"/>
              </w:rPr>
              <w:t>Team member</w:t>
            </w:r>
          </w:p>
        </w:tc>
        <w:tc>
          <w:tcPr>
            <w:tcW w:type="dxa" w:w="2592"/>
            <w:shd w:val="clear" w:color="auto" w:fill="6B1B28"/>
          </w:tcPr>
          <w:p>
            <w:pPr>
              <w:keepNext/>
              <w:spacing w:after="0" w:line="240" w:lineRule="auto"/>
              <w:jc w:val="left"/>
            </w:pPr>
            <w:r>
              <w:rPr>
                <w:b/>
                <w:color w:val="FFFFFF"/>
                <w:sz w:val="22"/>
              </w:rPr>
              <w:t>Roll number</w:t>
            </w:r>
          </w:p>
        </w:tc>
      </w:tr>
      <w:tr>
        <w:trPr>
          <w:cantSplit w:val="true"/>
        </w:trPr>
        <w:tc>
          <w:tcPr>
            <w:tcW w:type="dxa" w:w="4320"/>
          </w:tcPr>
          <w:p>
            <w:pPr>
              <w:keepNext/>
              <w:spacing w:after="0" w:line="240" w:lineRule="auto"/>
              <w:jc w:val="left"/>
            </w:pPr>
            <w:r>
              <w:rPr>
                <w:b w:val="0"/>
                <w:sz w:val="22"/>
              </w:rPr>
              <w:t>Harsh Jain</w:t>
            </w:r>
          </w:p>
        </w:tc>
        <w:tc>
          <w:tcPr>
            <w:tcW w:type="dxa" w:w="2592"/>
          </w:tcPr>
          <w:p>
            <w:pPr>
              <w:keepNext/>
              <w:spacing w:after="0" w:line="240" w:lineRule="auto"/>
              <w:jc w:val="left"/>
            </w:pPr>
            <w:r>
              <w:rPr>
                <w:b w:val="0"/>
                <w:sz w:val="22"/>
              </w:rPr>
              <w:t>2611356</w:t>
            </w:r>
          </w:p>
        </w:tc>
      </w:tr>
      <w:tr>
        <w:trPr>
          <w:cantSplit w:val="true"/>
        </w:trPr>
        <w:tc>
          <w:tcPr>
            <w:tcW w:type="dxa" w:w="4320"/>
          </w:tcPr>
          <w:p>
            <w:pPr>
              <w:keepNext/>
              <w:spacing w:after="0" w:line="240" w:lineRule="auto"/>
              <w:jc w:val="left"/>
            </w:pPr>
            <w:r>
              <w:rPr>
                <w:b w:val="0"/>
                <w:sz w:val="22"/>
              </w:rPr>
              <w:t>Anshh Chaturvedi</w:t>
            </w:r>
          </w:p>
        </w:tc>
        <w:tc>
          <w:tcPr>
            <w:tcW w:type="dxa" w:w="2592"/>
          </w:tcPr>
          <w:p>
            <w:pPr>
              <w:keepNext/>
              <w:spacing w:after="0" w:line="240" w:lineRule="auto"/>
              <w:jc w:val="left"/>
            </w:pPr>
            <w:r>
              <w:rPr>
                <w:b w:val="0"/>
                <w:sz w:val="22"/>
              </w:rPr>
              <w:t>2611355</w:t>
            </w:r>
          </w:p>
        </w:tc>
      </w:tr>
      <w:tr>
        <w:trPr>
          <w:cantSplit w:val="true"/>
        </w:trPr>
        <w:tc>
          <w:tcPr>
            <w:tcW w:type="dxa" w:w="4320"/>
          </w:tcPr>
          <w:p>
            <w:pPr>
              <w:keepNext/>
              <w:spacing w:after="0" w:line="240" w:lineRule="auto"/>
              <w:jc w:val="left"/>
            </w:pPr>
            <w:r>
              <w:rPr>
                <w:b w:val="0"/>
                <w:sz w:val="22"/>
              </w:rPr>
              <w:t>Snevi Kothari</w:t>
            </w:r>
          </w:p>
        </w:tc>
        <w:tc>
          <w:tcPr>
            <w:tcW w:type="dxa" w:w="2592"/>
          </w:tcPr>
          <w:p>
            <w:pPr>
              <w:keepNext/>
              <w:spacing w:after="0" w:line="240" w:lineRule="auto"/>
              <w:jc w:val="left"/>
            </w:pPr>
            <w:r>
              <w:rPr>
                <w:b w:val="0"/>
                <w:sz w:val="22"/>
              </w:rPr>
              <w:t>2611312</w:t>
            </w:r>
          </w:p>
        </w:tc>
      </w:tr>
      <w:tr>
        <w:trPr>
          <w:cantSplit w:val="true"/>
        </w:trPr>
        <w:tc>
          <w:tcPr>
            <w:tcW w:type="dxa" w:w="4320"/>
          </w:tcPr>
          <w:p>
            <w:pPr>
              <w:keepNext/>
              <w:spacing w:after="0" w:line="240" w:lineRule="auto"/>
              <w:jc w:val="left"/>
            </w:pPr>
            <w:r>
              <w:rPr>
                <w:b w:val="0"/>
                <w:sz w:val="22"/>
              </w:rPr>
              <w:t>Vishakha Tomar</w:t>
            </w:r>
          </w:p>
        </w:tc>
        <w:tc>
          <w:tcPr>
            <w:tcW w:type="dxa" w:w="2592"/>
          </w:tcPr>
          <w:p>
            <w:pPr>
              <w:keepNext/>
              <w:spacing w:after="0" w:line="240" w:lineRule="auto"/>
              <w:jc w:val="left"/>
            </w:pPr>
            <w:r>
              <w:rPr>
                <w:b w:val="0"/>
                <w:sz w:val="22"/>
              </w:rPr>
              <w:t>2611313</w:t>
            </w:r>
          </w:p>
        </w:tc>
      </w:tr>
      <w:tr>
        <w:trPr>
          <w:cantSplit w:val="true"/>
        </w:trPr>
        <w:tc>
          <w:tcPr>
            <w:tcW w:type="dxa" w:w="4320"/>
          </w:tcPr>
          <w:p>
            <w:pPr>
              <w:keepNext/>
              <w:spacing w:after="0" w:line="240" w:lineRule="auto"/>
              <w:jc w:val="left"/>
            </w:pPr>
            <w:r>
              <w:rPr>
                <w:b w:val="0"/>
                <w:sz w:val="22"/>
              </w:rPr>
              <w:t>Gokul Krishnan A</w:t>
            </w:r>
          </w:p>
        </w:tc>
        <w:tc>
          <w:tcPr>
            <w:tcW w:type="dxa" w:w="2592"/>
          </w:tcPr>
          <w:p>
            <w:pPr>
              <w:keepNext/>
              <w:spacing w:after="0" w:line="240" w:lineRule="auto"/>
              <w:jc w:val="left"/>
            </w:pPr>
            <w:r>
              <w:rPr>
                <w:b w:val="0"/>
                <w:sz w:val="22"/>
              </w:rPr>
              <w:t>2611367</w:t>
            </w:r>
          </w:p>
        </w:tc>
      </w:tr>
      <w:tr>
        <w:trPr>
          <w:cantSplit w:val="true"/>
        </w:trPr>
        <w:tc>
          <w:tcPr>
            <w:tcW w:type="dxa" w:w="4320"/>
          </w:tcPr>
          <w:p>
            <w:pPr>
              <w:spacing w:after="0" w:line="240" w:lineRule="auto"/>
              <w:jc w:val="left"/>
            </w:pPr>
            <w:r>
              <w:rPr>
                <w:b w:val="0"/>
                <w:sz w:val="22"/>
              </w:rPr>
              <w:t>Yash Rajesh</w:t>
            </w:r>
          </w:p>
        </w:tc>
        <w:tc>
          <w:tcPr>
            <w:tcW w:type="dxa" w:w="2592"/>
          </w:tcPr>
          <w:p>
            <w:pPr>
              <w:spacing w:after="0" w:line="240" w:lineRule="auto"/>
              <w:jc w:val="left"/>
            </w:pPr>
            <w:r>
              <w:rPr>
                <w:b w:val="0"/>
                <w:sz w:val="22"/>
              </w:rPr>
              <w:t>2611342</w:t>
            </w:r>
          </w:p>
        </w:tc>
      </w:tr>
    </w:tbl>
    <w:p>
      <w:pPr>
        <w:spacing w:after="40" w:line="120" w:lineRule="auto"/>
      </w:pPr>
    </w:p>
    <w:p>
      <w:pPr>
        <w:spacing w:after="0" w:before="280"/>
        <w:jc w:val="center"/>
      </w:pPr>
      <w:r>
        <w:rPr>
          <w:b w:val="0"/>
          <w:color w:val="555555"/>
          <w:sz w:val="22"/>
        </w:rPr>
        <w:t>6 October 2026</w:t>
      </w:r>
    </w:p>
    <w:p>
      <w:r>
        <w:br w:type="page"/>
      </w:r>
    </w:p>
    <w:p>
      <w:pPr>
        <w:pStyle w:val="Heading1"/>
        <w:pBdr>
          <w:bottom w:val="single" w:sz="6" w:space="2" w:color="7A1E2E"/>
        </w:pBdr>
      </w:pPr>
      <w:r>
        <w:t>Executive Summary</w:t>
      </w:r>
    </w:p>
    <w:p>
      <w:r>
        <w:rPr>
          <w:b w:val="0"/>
        </w:rPr>
        <w:t>GoodBelly puts most of its small marketing budget into two in-store programmes at Whole Foods: product demonstrations and endcap displays. By July 2010 management was asking whether they lift sales, whether the lift lasts, and whether they are worth the money. We answer using 1,386 weekly observations from 126 stores over 11 weeks, analysed in JASP.</w:t>
      </w:r>
    </w:p>
    <w:p>
      <w:r>
        <w:rPr>
          <w:b w:val="0"/>
        </w:rPr>
        <w:t>We began with a regression of weekly units on all eight variables (Model 1). It explains 67% of the variation in sales and nearly every coefficient is significant, yet the residuals show clear problems: autocorrelation (Durbin-Watson 1.39), a heavy lower tail (kurtosis 8.5) and a separate cluster of large negative residuals. Re-estimating the model on the log of units (Model 2) did not help; the same observations stayed badly fitted and the residuals remained non-normal. The trouble came from one place, the 53 store-weeks with an endcap. Endcap stores with a regional sales rep sold far more than predicted, endcap stores without one sold far less.</w:t>
      </w:r>
    </w:p>
    <w:p>
      <w:r>
        <w:rPr>
          <w:b w:val="0"/>
        </w:rPr>
        <w:t>We screened 16 plausible interaction terms and found that Endcap × Sales Rep outperformed all others by a wide margin. Stepwise regression on the original variables plus the 16 interactions then produced our final model (Model 3). It explains 80.6% of the variation, and its residuals meet the regression assumptions (Durbin-Watson 2.11, skewness -0.01, kurtosis 3.05).</w:t>
      </w:r>
    </w:p>
    <w:p>
      <w:r>
        <w:rPr>
          <w:b w:val="0"/>
        </w:rPr>
        <w:t>Demos work, and the effect does not fade. A demo adds about 107 units in the week it is held (roughly 50% above a normal week) and a further 73 to 75 units a week for at least five weeks afterwards. Over six weeks that adds up to about 476 extra units per demo, and more than three quarters of it arrives after the demo week. Endcaps are different. They add about 454 units a week, but only in stores with a regional sales rep; without a rep an endcap barely moves sales (218 units against 198). A regional rep is worth about 59 units a week even without a promotion, and each $1 increase in price costs about 22 units.</w:t>
      </w:r>
    </w:p>
    <w:p>
      <w:r>
        <w:rPr>
          <w:b w:val="0"/>
        </w:rPr>
        <w:t>Our advice is to keep the demo programme and to judge it over six weeks rather than one. Endcaps should go only into stores with a regional rep, and rep coverage deserves to be seen as the investment that makes endcaps pay. One number is still missing before the budget is settled, and that is cost: a demo pays for itself if it costs less than 476 units times the margin per unit, so marketing needs to supply the cost of each programme and that margin.</w:t>
      </w:r>
    </w:p>
    <w:p>
      <w:r>
        <w:br w:type="page"/>
      </w:r>
    </w:p>
    <w:p>
      <w:pPr>
        <w:pStyle w:val="Heading1"/>
        <w:pBdr>
          <w:bottom w:val="single" w:sz="6" w:space="2" w:color="7A1E2E"/>
        </w:pBdr>
      </w:pPr>
      <w:r>
        <w:t>1. Introduction</w:t>
      </w:r>
    </w:p>
    <w:p>
      <w:pPr>
        <w:pStyle w:val="Heading2"/>
      </w:pPr>
      <w:r>
        <w:t>1.1 Case background</w:t>
      </w:r>
    </w:p>
    <w:p>
      <w:r>
        <w:rPr>
          <w:b w:val="0"/>
        </w:rPr>
        <w:t>GoodBelly, a probiotic juice brand from NextFoods Inc., cannot afford national advertising, so it relies on two in-store promotions at Whole Foods: demonstrations, in which trained representatives hand out samples, and endcap displays at the end of an aisle. Some stores also have a regional sales representative who visits in person, while the others are served only by the national representative. In July 2010 management began to question whether the promotions lift sales, whether any lift lasts, and whether they justify their cost. The marketing manager has to defend the budget with statistical evidence.</w:t>
      </w:r>
    </w:p>
    <w:p>
      <w:pPr>
        <w:pStyle w:val="Heading2"/>
      </w:pPr>
      <w:r>
        <w:t>1.2 Data and variables</w:t>
      </w:r>
    </w:p>
    <w:p>
      <w:pPr>
        <w:keepNext/>
      </w:pPr>
      <w:r>
        <w:rPr>
          <w:b w:val="0"/>
        </w:rPr>
        <w:t>The dataset has 1,386 store-week observations from 126 Whole Foods stores between 4 May and 13 July 2010 (11 weekly dates). Weekly units average 254, with a range of 48 to 1,041. Only 53 store-weeks (3.8%) have an endcap, spread over 12 stores, a fact that matters a great deal later. In the JASP file the demo variables are named D13 and D45; we call them Demo1-3 and Demo4-5 in this report.</w:t>
      </w:r>
    </w:p>
    <w:p>
      <w:pPr>
        <w:keepNext/>
        <w:spacing w:before="120" w:after="60"/>
        <w:jc w:val="left"/>
      </w:pPr>
      <w:r>
        <w:rPr>
          <w:b/>
          <w:color w:val="333333"/>
          <w:sz w:val="20"/>
        </w:rPr>
        <w:t>Table 1.1: Variables used in the analysis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160"/>
        <w:gridCol w:w="1440"/>
        <w:gridCol w:w="5616"/>
      </w:tblGrid>
      <w:tr>
        <w:trPr>
          <w:tblHeader w:val="true"/>
          <w:cantSplit w:val="true"/>
        </w:trPr>
        <w:tc>
          <w:tcPr>
            <w:tcW w:type="dxa" w:w="2160"/>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left"/>
            </w:pPr>
            <w:r>
              <w:rPr>
                <w:b/>
                <w:color w:val="FFFFFF"/>
                <w:sz w:val="19"/>
              </w:rPr>
              <w:t>Role</w:t>
            </w:r>
          </w:p>
        </w:tc>
        <w:tc>
          <w:tcPr>
            <w:tcW w:type="dxa" w:w="5616"/>
            <w:shd w:val="clear" w:color="auto" w:fill="6B1B28"/>
          </w:tcPr>
          <w:p>
            <w:pPr>
              <w:keepNext/>
              <w:spacing w:after="0" w:line="240" w:lineRule="auto"/>
              <w:jc w:val="left"/>
            </w:pPr>
            <w:r>
              <w:rPr>
                <w:b/>
                <w:color w:val="FFFFFF"/>
                <w:sz w:val="19"/>
              </w:rPr>
              <w:t>Definition</w:t>
            </w:r>
          </w:p>
        </w:tc>
      </w:tr>
      <w:tr>
        <w:trPr>
          <w:cantSplit w:val="true"/>
        </w:trPr>
        <w:tc>
          <w:tcPr>
            <w:tcW w:type="dxa" w:w="2160"/>
          </w:tcPr>
          <w:p>
            <w:pPr>
              <w:keepNext/>
              <w:spacing w:after="0" w:line="240" w:lineRule="auto"/>
              <w:jc w:val="left"/>
            </w:pPr>
            <w:r>
              <w:rPr>
                <w:b w:val="0"/>
                <w:sz w:val="19"/>
              </w:rPr>
              <w:t>Units (weekly sales)</w:t>
            </w:r>
          </w:p>
        </w:tc>
        <w:tc>
          <w:tcPr>
            <w:tcW w:type="dxa" w:w="1440"/>
          </w:tcPr>
          <w:p>
            <w:pPr>
              <w:keepNext/>
              <w:spacing w:after="0" w:line="240" w:lineRule="auto"/>
              <w:jc w:val="left"/>
            </w:pPr>
            <w:r>
              <w:rPr>
                <w:b w:val="0"/>
                <w:sz w:val="19"/>
              </w:rPr>
              <w:t>Dependent</w:t>
            </w:r>
          </w:p>
        </w:tc>
        <w:tc>
          <w:tcPr>
            <w:tcW w:type="dxa" w:w="5616"/>
          </w:tcPr>
          <w:p>
            <w:pPr>
              <w:keepNext/>
              <w:spacing w:after="0" w:line="240" w:lineRule="auto"/>
              <w:jc w:val="left"/>
            </w:pPr>
            <w:r>
              <w:rPr>
                <w:b w:val="0"/>
                <w:sz w:val="19"/>
              </w:rPr>
              <w:t>Units sold per store per week</w:t>
            </w:r>
          </w:p>
        </w:tc>
      </w:tr>
      <w:tr>
        <w:trPr>
          <w:cantSplit w:val="true"/>
        </w:trPr>
        <w:tc>
          <w:tcPr>
            <w:tcW w:type="dxa" w:w="2160"/>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left"/>
            </w:pPr>
            <w:r>
              <w:rPr>
                <w:b w:val="0"/>
                <w:sz w:val="19"/>
              </w:rPr>
              <w:t>Promotional</w:t>
            </w:r>
          </w:p>
        </w:tc>
        <w:tc>
          <w:tcPr>
            <w:tcW w:type="dxa" w:w="5616"/>
            <w:shd w:val="clear" w:color="auto" w:fill="F5F2EF"/>
          </w:tcPr>
          <w:p>
            <w:pPr>
              <w:keepNext/>
              <w:spacing w:after="0" w:line="240" w:lineRule="auto"/>
              <w:jc w:val="left"/>
            </w:pPr>
            <w:r>
              <w:rPr>
                <w:b w:val="0"/>
                <w:sz w:val="19"/>
              </w:rPr>
              <w:t>1 if the store had a demo in the current week</w:t>
            </w:r>
          </w:p>
        </w:tc>
      </w:tr>
      <w:tr>
        <w:trPr>
          <w:cantSplit w:val="true"/>
        </w:trPr>
        <w:tc>
          <w:tcPr>
            <w:tcW w:type="dxa" w:w="2160"/>
          </w:tcPr>
          <w:p>
            <w:pPr>
              <w:keepNext/>
              <w:spacing w:after="0" w:line="240" w:lineRule="auto"/>
              <w:jc w:val="left"/>
            </w:pPr>
            <w:r>
              <w:rPr>
                <w:b w:val="0"/>
                <w:sz w:val="19"/>
              </w:rPr>
              <w:t>Demo1-3</w:t>
            </w:r>
          </w:p>
        </w:tc>
        <w:tc>
          <w:tcPr>
            <w:tcW w:type="dxa" w:w="1440"/>
          </w:tcPr>
          <w:p>
            <w:pPr>
              <w:keepNext/>
              <w:spacing w:after="0" w:line="240" w:lineRule="auto"/>
              <w:jc w:val="left"/>
            </w:pPr>
            <w:r>
              <w:rPr>
                <w:b w:val="0"/>
                <w:sz w:val="19"/>
              </w:rPr>
              <w:t>Promotional</w:t>
            </w:r>
          </w:p>
        </w:tc>
        <w:tc>
          <w:tcPr>
            <w:tcW w:type="dxa" w:w="5616"/>
          </w:tcPr>
          <w:p>
            <w:pPr>
              <w:keepNext/>
              <w:spacing w:after="0" w:line="240" w:lineRule="auto"/>
              <w:jc w:val="left"/>
            </w:pPr>
            <w:r>
              <w:rPr>
                <w:b w:val="0"/>
                <w:sz w:val="19"/>
              </w:rPr>
              <w:t>1 if the store had a demo 1 to 3 weeks ago</w:t>
            </w:r>
          </w:p>
        </w:tc>
      </w:tr>
      <w:tr>
        <w:trPr>
          <w:cantSplit w:val="true"/>
        </w:trPr>
        <w:tc>
          <w:tcPr>
            <w:tcW w:type="dxa" w:w="2160"/>
            <w:shd w:val="clear" w:color="auto" w:fill="F5F2EF"/>
          </w:tcPr>
          <w:p>
            <w:pPr>
              <w:keepNext/>
              <w:spacing w:after="0" w:line="240" w:lineRule="auto"/>
              <w:jc w:val="left"/>
            </w:pPr>
            <w:r>
              <w:rPr>
                <w:b w:val="0"/>
                <w:sz w:val="19"/>
              </w:rPr>
              <w:t>Demo4-5</w:t>
            </w:r>
          </w:p>
        </w:tc>
        <w:tc>
          <w:tcPr>
            <w:tcW w:type="dxa" w:w="1440"/>
            <w:shd w:val="clear" w:color="auto" w:fill="F5F2EF"/>
          </w:tcPr>
          <w:p>
            <w:pPr>
              <w:keepNext/>
              <w:spacing w:after="0" w:line="240" w:lineRule="auto"/>
              <w:jc w:val="left"/>
            </w:pPr>
            <w:r>
              <w:rPr>
                <w:b w:val="0"/>
                <w:sz w:val="19"/>
              </w:rPr>
              <w:t>Promotional</w:t>
            </w:r>
          </w:p>
        </w:tc>
        <w:tc>
          <w:tcPr>
            <w:tcW w:type="dxa" w:w="5616"/>
            <w:shd w:val="clear" w:color="auto" w:fill="F5F2EF"/>
          </w:tcPr>
          <w:p>
            <w:pPr>
              <w:keepNext/>
              <w:spacing w:after="0" w:line="240" w:lineRule="auto"/>
              <w:jc w:val="left"/>
            </w:pPr>
            <w:r>
              <w:rPr>
                <w:b w:val="0"/>
                <w:sz w:val="19"/>
              </w:rPr>
              <w:t>1 if the store had a demo 4 to 5 weeks ago (or earlier)</w:t>
            </w:r>
          </w:p>
        </w:tc>
      </w:tr>
      <w:tr>
        <w:trPr>
          <w:cantSplit w:val="true"/>
        </w:trPr>
        <w:tc>
          <w:tcPr>
            <w:tcW w:type="dxa" w:w="2160"/>
          </w:tcPr>
          <w:p>
            <w:pPr>
              <w:keepNext/>
              <w:spacing w:after="0" w:line="240" w:lineRule="auto"/>
              <w:jc w:val="left"/>
            </w:pPr>
            <w:r>
              <w:rPr>
                <w:b w:val="0"/>
                <w:sz w:val="19"/>
              </w:rPr>
              <w:t>Endcap</w:t>
            </w:r>
          </w:p>
        </w:tc>
        <w:tc>
          <w:tcPr>
            <w:tcW w:type="dxa" w:w="1440"/>
          </w:tcPr>
          <w:p>
            <w:pPr>
              <w:keepNext/>
              <w:spacing w:after="0" w:line="240" w:lineRule="auto"/>
              <w:jc w:val="left"/>
            </w:pPr>
            <w:r>
              <w:rPr>
                <w:b w:val="0"/>
                <w:sz w:val="19"/>
              </w:rPr>
              <w:t>Promotional</w:t>
            </w:r>
          </w:p>
        </w:tc>
        <w:tc>
          <w:tcPr>
            <w:tcW w:type="dxa" w:w="5616"/>
          </w:tcPr>
          <w:p>
            <w:pPr>
              <w:keepNext/>
              <w:spacing w:after="0" w:line="240" w:lineRule="auto"/>
              <w:jc w:val="left"/>
            </w:pPr>
            <w:r>
              <w:rPr>
                <w:b w:val="0"/>
                <w:sz w:val="19"/>
              </w:rPr>
              <w:t>1 if the store took part in an endcap promotion</w:t>
            </w:r>
          </w:p>
        </w:tc>
      </w:tr>
      <w:tr>
        <w:trPr>
          <w:cantSplit w:val="true"/>
        </w:trPr>
        <w:tc>
          <w:tcPr>
            <w:tcW w:type="dxa" w:w="2160"/>
            <w:shd w:val="clear" w:color="auto" w:fill="F5F2EF"/>
          </w:tcPr>
          <w:p>
            <w:pPr>
              <w:keepNext/>
              <w:spacing w:after="0" w:line="240" w:lineRule="auto"/>
              <w:jc w:val="left"/>
            </w:pPr>
            <w:r>
              <w:rPr>
                <w:b w:val="0"/>
                <w:sz w:val="19"/>
              </w:rPr>
              <w:t>Sales Rep</w:t>
            </w:r>
          </w:p>
        </w:tc>
        <w:tc>
          <w:tcPr>
            <w:tcW w:type="dxa" w:w="1440"/>
            <w:shd w:val="clear" w:color="auto" w:fill="F5F2EF"/>
          </w:tcPr>
          <w:p>
            <w:pPr>
              <w:keepNext/>
              <w:spacing w:after="0" w:line="240" w:lineRule="auto"/>
              <w:jc w:val="left"/>
            </w:pPr>
            <w:r>
              <w:rPr>
                <w:b w:val="0"/>
                <w:sz w:val="19"/>
              </w:rPr>
              <w:t>Control</w:t>
            </w:r>
          </w:p>
        </w:tc>
        <w:tc>
          <w:tcPr>
            <w:tcW w:type="dxa" w:w="5616"/>
            <w:shd w:val="clear" w:color="auto" w:fill="F5F2EF"/>
          </w:tcPr>
          <w:p>
            <w:pPr>
              <w:keepNext/>
              <w:spacing w:after="0" w:line="240" w:lineRule="auto"/>
              <w:jc w:val="left"/>
            </w:pPr>
            <w:r>
              <w:rPr>
                <w:b w:val="0"/>
                <w:sz w:val="19"/>
              </w:rPr>
              <w:t>1 if the store has a regional sales rep (face-to-face contact), 0 if only the national rep</w:t>
            </w:r>
          </w:p>
        </w:tc>
      </w:tr>
      <w:tr>
        <w:trPr>
          <w:cantSplit w:val="true"/>
        </w:trPr>
        <w:tc>
          <w:tcPr>
            <w:tcW w:type="dxa" w:w="2160"/>
          </w:tcPr>
          <w:p>
            <w:pPr>
              <w:keepNext/>
              <w:spacing w:after="0" w:line="240" w:lineRule="auto"/>
              <w:jc w:val="left"/>
            </w:pPr>
            <w:r>
              <w:rPr>
                <w:b w:val="0"/>
                <w:sz w:val="19"/>
              </w:rPr>
              <w:t>Price</w:t>
            </w:r>
          </w:p>
        </w:tc>
        <w:tc>
          <w:tcPr>
            <w:tcW w:type="dxa" w:w="1440"/>
          </w:tcPr>
          <w:p>
            <w:pPr>
              <w:keepNext/>
              <w:spacing w:after="0" w:line="240" w:lineRule="auto"/>
              <w:jc w:val="left"/>
            </w:pPr>
            <w:r>
              <w:rPr>
                <w:b w:val="0"/>
                <w:sz w:val="19"/>
              </w:rPr>
              <w:t>Control</w:t>
            </w:r>
          </w:p>
        </w:tc>
        <w:tc>
          <w:tcPr>
            <w:tcW w:type="dxa" w:w="5616"/>
          </w:tcPr>
          <w:p>
            <w:pPr>
              <w:keepNext/>
              <w:spacing w:after="0" w:line="240" w:lineRule="auto"/>
              <w:jc w:val="left"/>
            </w:pPr>
            <w:r>
              <w:rPr>
                <w:b w:val="0"/>
                <w:sz w:val="19"/>
              </w:rPr>
              <w:t>Average retail price per store per week ($2.89 to $6.25)</w:t>
            </w:r>
          </w:p>
        </w:tc>
      </w:tr>
      <w:tr>
        <w:trPr>
          <w:cantSplit w:val="true"/>
        </w:trPr>
        <w:tc>
          <w:tcPr>
            <w:tcW w:type="dxa" w:w="2160"/>
            <w:shd w:val="clear" w:color="auto" w:fill="F5F2EF"/>
          </w:tcPr>
          <w:p>
            <w:pPr>
              <w:spacing w:after="0" w:line="240" w:lineRule="auto"/>
              <w:jc w:val="left"/>
            </w:pPr>
            <w:r>
              <w:rPr>
                <w:b w:val="0"/>
                <w:sz w:val="19"/>
              </w:rPr>
              <w:t>Natural, Fitness</w:t>
            </w:r>
          </w:p>
        </w:tc>
        <w:tc>
          <w:tcPr>
            <w:tcW w:type="dxa" w:w="1440"/>
            <w:shd w:val="clear" w:color="auto" w:fill="F5F2EF"/>
          </w:tcPr>
          <w:p>
            <w:pPr>
              <w:spacing w:after="0" w:line="240" w:lineRule="auto"/>
              <w:jc w:val="left"/>
            </w:pPr>
            <w:r>
              <w:rPr>
                <w:b w:val="0"/>
                <w:sz w:val="19"/>
              </w:rPr>
              <w:t>Control</w:t>
            </w:r>
          </w:p>
        </w:tc>
        <w:tc>
          <w:tcPr>
            <w:tcW w:type="dxa" w:w="5616"/>
            <w:shd w:val="clear" w:color="auto" w:fill="F5F2EF"/>
          </w:tcPr>
          <w:p>
            <w:pPr>
              <w:spacing w:after="0" w:line="240" w:lineRule="auto"/>
              <w:jc w:val="left"/>
            </w:pPr>
            <w:r>
              <w:rPr>
                <w:b w:val="0"/>
                <w:sz w:val="19"/>
              </w:rPr>
              <w:t>Number of other natural retailers and of fitness centres within 5 miles</w:t>
            </w:r>
          </w:p>
        </w:tc>
      </w:tr>
    </w:tbl>
    <w:p>
      <w:pPr>
        <w:spacing w:after="40" w:line="120" w:lineRule="auto"/>
      </w:pPr>
    </w:p>
    <w:p>
      <w:r>
        <w:rPr>
          <w:b w:val="0"/>
        </w:rPr>
        <w:t>Demo, Demo1-3 and Demo4-5 describe how recently a store held a demo, so “no recent demo” is the base group and each of their coefficients is a lift relative to it. Repeat demos set more than one flag in 34 store-weeks, and their effects simply add.</w:t>
      </w:r>
    </w:p>
    <w:p>
      <w:pPr>
        <w:pStyle w:val="Heading2"/>
      </w:pPr>
      <w:r>
        <w:t>1.3 Approach</w:t>
      </w:r>
    </w:p>
    <w:p>
      <w:r>
        <w:rPr>
          <w:b w:val="0"/>
        </w:rPr>
        <w:t>We build the model in stages, so that each step is justified by the failure of the one before it: a base model with all variables, a check of its assumptions, a log-level model, a second check of the assumptions, a search for interaction terms, and finally a stepwise model that becomes our final model. The case questions are answered in Section 8, using that final model.</w:t>
      </w:r>
    </w:p>
    <w:p>
      <w:pPr>
        <w:pStyle w:val="Heading1"/>
        <w:pBdr>
          <w:bottom w:val="single" w:sz="6" w:space="2" w:color="7A1E2E"/>
        </w:pBdr>
      </w:pPr>
      <w:r>
        <w:t>2. Model 1: The Base Model</w:t>
      </w:r>
    </w:p>
    <w:p>
      <w:r>
        <w:rPr>
          <w:b w:val="0"/>
        </w:rPr>
        <w:t>The natural starting point is an ordinary least squares regression of weekly units on all eight variables, with no transformation and no interactions. The model is significant as a whole (F = 353.7, p &lt; 0.001) and explains 67.3% of the variation in weekly sales (adjusted R² = 0.671, standard error 63.7 units).</w:t>
      </w:r>
    </w:p>
    <w:p>
      <w:pPr>
        <w:keepNext/>
        <w:spacing w:before="120" w:after="60"/>
        <w:jc w:val="left"/>
      </w:pPr>
      <w:r>
        <w:rPr>
          <w:b/>
          <w:color w:val="333333"/>
          <w:sz w:val="20"/>
        </w:rPr>
        <w:t>Table 2.1: Model 1 coefficients (dependent variable: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944"/>
        <w:gridCol w:w="1368"/>
        <w:gridCol w:w="1224"/>
        <w:gridCol w:w="1152"/>
        <w:gridCol w:w="1008"/>
        <w:gridCol w:w="1152"/>
        <w:gridCol w:w="864"/>
      </w:tblGrid>
      <w:tr>
        <w:trPr>
          <w:tblHeader w:val="true"/>
          <w:cantSplit w:val="true"/>
        </w:trPr>
        <w:tc>
          <w:tcPr>
            <w:tcW w:type="dxa" w:w="1944"/>
            <w:shd w:val="clear" w:color="auto" w:fill="6B1B28"/>
          </w:tcPr>
          <w:p>
            <w:pPr>
              <w:keepNext/>
              <w:spacing w:after="0" w:line="240" w:lineRule="auto"/>
              <w:jc w:val="left"/>
            </w:pPr>
            <w:r>
              <w:rPr>
                <w:b/>
                <w:color w:val="FFFFFF"/>
                <w:sz w:val="19"/>
              </w:rPr>
              <w:t>Variable</w:t>
            </w:r>
          </w:p>
        </w:tc>
        <w:tc>
          <w:tcPr>
            <w:tcW w:type="dxa" w:w="1368"/>
            <w:shd w:val="clear" w:color="auto" w:fill="6B1B28"/>
          </w:tcPr>
          <w:p>
            <w:pPr>
              <w:keepNext/>
              <w:spacing w:after="0" w:line="240" w:lineRule="auto"/>
              <w:jc w:val="right"/>
            </w:pPr>
            <w:r>
              <w:rPr>
                <w:b/>
                <w:color w:val="FFFFFF"/>
                <w:sz w:val="19"/>
              </w:rPr>
              <w:t>Coefficient</w:t>
            </w:r>
          </w:p>
        </w:tc>
        <w:tc>
          <w:tcPr>
            <w:tcW w:type="dxa" w:w="1224"/>
            <w:shd w:val="clear" w:color="auto" w:fill="6B1B28"/>
          </w:tcPr>
          <w:p>
            <w:pPr>
              <w:keepNext/>
              <w:spacing w:after="0" w:line="240" w:lineRule="auto"/>
              <w:jc w:val="right"/>
            </w:pPr>
            <w:r>
              <w:rPr>
                <w:b/>
                <w:color w:val="FFFFFF"/>
                <w:sz w:val="19"/>
              </w:rPr>
              <w:t>Std. error</w:t>
            </w:r>
          </w:p>
        </w:tc>
        <w:tc>
          <w:tcPr>
            <w:tcW w:type="dxa" w:w="1152"/>
            <w:shd w:val="clear" w:color="auto" w:fill="6B1B28"/>
          </w:tcPr>
          <w:p>
            <w:pPr>
              <w:keepNext/>
              <w:spacing w:after="0" w:line="240" w:lineRule="auto"/>
              <w:jc w:val="right"/>
            </w:pPr>
            <w:r>
              <w:rPr>
                <w:b/>
                <w:color w:val="FFFFFF"/>
                <w:sz w:val="19"/>
              </w:rPr>
              <w:t>Std. beta</w:t>
            </w:r>
          </w:p>
        </w:tc>
        <w:tc>
          <w:tcPr>
            <w:tcW w:type="dxa" w:w="1008"/>
            <w:shd w:val="clear" w:color="auto" w:fill="6B1B28"/>
          </w:tcPr>
          <w:p>
            <w:pPr>
              <w:keepNext/>
              <w:spacing w:after="0" w:line="240" w:lineRule="auto"/>
              <w:jc w:val="right"/>
            </w:pPr>
            <w:r>
              <w:rPr>
                <w:b/>
                <w:color w:val="FFFFFF"/>
                <w:sz w:val="19"/>
              </w:rPr>
              <w:t>t</w:t>
            </w:r>
          </w:p>
        </w:tc>
        <w:tc>
          <w:tcPr>
            <w:tcW w:type="dxa" w:w="1152"/>
            <w:shd w:val="clear" w:color="auto" w:fill="6B1B28"/>
          </w:tcPr>
          <w:p>
            <w:pPr>
              <w:keepNext/>
              <w:spacing w:after="0" w:line="240" w:lineRule="auto"/>
              <w:jc w:val="right"/>
            </w:pPr>
            <w:r>
              <w:rPr>
                <w:b/>
                <w:color w:val="FFFFFF"/>
                <w:sz w:val="19"/>
              </w:rPr>
              <w:t>p-value</w:t>
            </w:r>
          </w:p>
        </w:tc>
        <w:tc>
          <w:tcPr>
            <w:tcW w:type="dxa" w:w="864"/>
            <w:shd w:val="clear" w:color="auto" w:fill="6B1B28"/>
          </w:tcPr>
          <w:p>
            <w:pPr>
              <w:keepNext/>
              <w:spacing w:after="0" w:line="240" w:lineRule="auto"/>
              <w:jc w:val="right"/>
            </w:pPr>
            <w:r>
              <w:rPr>
                <w:b/>
                <w:color w:val="FFFFFF"/>
                <w:sz w:val="19"/>
              </w:rPr>
              <w:t>VIF</w:t>
            </w:r>
          </w:p>
        </w:tc>
      </w:tr>
      <w:tr>
        <w:trPr>
          <w:cantSplit w:val="true"/>
        </w:trPr>
        <w:tc>
          <w:tcPr>
            <w:tcW w:type="dxa" w:w="1944"/>
          </w:tcPr>
          <w:p>
            <w:pPr>
              <w:keepNext/>
              <w:spacing w:after="0" w:line="240" w:lineRule="auto"/>
              <w:jc w:val="left"/>
            </w:pPr>
            <w:r>
              <w:rPr>
                <w:b w:val="0"/>
                <w:sz w:val="19"/>
              </w:rPr>
              <w:t>Intercept</w:t>
            </w:r>
          </w:p>
        </w:tc>
        <w:tc>
          <w:tcPr>
            <w:tcW w:type="dxa" w:w="1368"/>
          </w:tcPr>
          <w:p>
            <w:pPr>
              <w:keepNext/>
              <w:spacing w:after="0" w:line="240" w:lineRule="auto"/>
              <w:jc w:val="right"/>
            </w:pPr>
            <w:r>
              <w:rPr>
                <w:b w:val="0"/>
                <w:sz w:val="19"/>
              </w:rPr>
              <w:t>298.49</w:t>
            </w:r>
          </w:p>
        </w:tc>
        <w:tc>
          <w:tcPr>
            <w:tcW w:type="dxa" w:w="1224"/>
          </w:tcPr>
          <w:p>
            <w:pPr>
              <w:keepNext/>
              <w:spacing w:after="0" w:line="240" w:lineRule="auto"/>
              <w:jc w:val="right"/>
            </w:pPr>
            <w:r>
              <w:rPr>
                <w:b w:val="0"/>
                <w:sz w:val="19"/>
              </w:rPr>
              <w:t>16.18</w:t>
            </w:r>
          </w:p>
        </w:tc>
        <w:tc>
          <w:tcPr>
            <w:tcW w:type="dxa" w:w="1152"/>
          </w:tcPr>
          <w:p>
            <w:pPr>
              <w:keepNext/>
              <w:spacing w:after="0" w:line="240" w:lineRule="auto"/>
              <w:jc w:val="right"/>
            </w:pPr>
          </w:p>
        </w:tc>
        <w:tc>
          <w:tcPr>
            <w:tcW w:type="dxa" w:w="1008"/>
          </w:tcPr>
          <w:p>
            <w:pPr>
              <w:keepNext/>
              <w:spacing w:after="0" w:line="240" w:lineRule="auto"/>
              <w:jc w:val="right"/>
            </w:pPr>
            <w:r>
              <w:rPr>
                <w:b w:val="0"/>
                <w:sz w:val="19"/>
              </w:rPr>
              <w:t>18.44</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p>
        </w:tc>
      </w:tr>
      <w:tr>
        <w:trPr>
          <w:cantSplit w:val="true"/>
        </w:trPr>
        <w:tc>
          <w:tcPr>
            <w:tcW w:type="dxa" w:w="1944"/>
          </w:tcPr>
          <w:p>
            <w:pPr>
              <w:keepNext/>
              <w:spacing w:after="0" w:line="240" w:lineRule="auto"/>
              <w:jc w:val="left"/>
            </w:pPr>
            <w:r>
              <w:rPr>
                <w:b w:val="0"/>
                <w:sz w:val="19"/>
              </w:rPr>
              <w:t>Price</w:t>
            </w:r>
          </w:p>
        </w:tc>
        <w:tc>
          <w:tcPr>
            <w:tcW w:type="dxa" w:w="1368"/>
          </w:tcPr>
          <w:p>
            <w:pPr>
              <w:keepNext/>
              <w:spacing w:after="0" w:line="240" w:lineRule="auto"/>
              <w:jc w:val="right"/>
            </w:pPr>
            <w:r>
              <w:rPr>
                <w:b w:val="0"/>
                <w:sz w:val="19"/>
              </w:rPr>
              <w:t>−28.54</w:t>
            </w:r>
          </w:p>
        </w:tc>
        <w:tc>
          <w:tcPr>
            <w:tcW w:type="dxa" w:w="1224"/>
          </w:tcPr>
          <w:p>
            <w:pPr>
              <w:keepNext/>
              <w:spacing w:after="0" w:line="240" w:lineRule="auto"/>
              <w:jc w:val="right"/>
            </w:pPr>
            <w:r>
              <w:rPr>
                <w:b w:val="0"/>
                <w:sz w:val="19"/>
              </w:rPr>
              <w:t>3.95</w:t>
            </w:r>
          </w:p>
        </w:tc>
        <w:tc>
          <w:tcPr>
            <w:tcW w:type="dxa" w:w="1152"/>
          </w:tcPr>
          <w:p>
            <w:pPr>
              <w:keepNext/>
              <w:spacing w:after="0" w:line="240" w:lineRule="auto"/>
              <w:jc w:val="right"/>
            </w:pPr>
            <w:r>
              <w:rPr>
                <w:b w:val="0"/>
                <w:sz w:val="19"/>
              </w:rPr>
              <w:t>−0.119</w:t>
            </w:r>
          </w:p>
        </w:tc>
        <w:tc>
          <w:tcPr>
            <w:tcW w:type="dxa" w:w="1008"/>
          </w:tcPr>
          <w:p>
            <w:pPr>
              <w:keepNext/>
              <w:spacing w:after="0" w:line="240" w:lineRule="auto"/>
              <w:jc w:val="right"/>
            </w:pPr>
            <w:r>
              <w:rPr>
                <w:b w:val="0"/>
                <w:sz w:val="19"/>
              </w:rPr>
              <w:t>−7.22</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1.15</w:t>
            </w:r>
          </w:p>
        </w:tc>
      </w:tr>
      <w:tr>
        <w:trPr>
          <w:cantSplit w:val="true"/>
        </w:trPr>
        <w:tc>
          <w:tcPr>
            <w:tcW w:type="dxa" w:w="1944"/>
          </w:tcPr>
          <w:p>
            <w:pPr>
              <w:keepNext/>
              <w:spacing w:after="0" w:line="240" w:lineRule="auto"/>
              <w:jc w:val="left"/>
            </w:pPr>
            <w:r>
              <w:rPr>
                <w:b w:val="0"/>
                <w:sz w:val="19"/>
              </w:rPr>
              <w:t>Sales Rep</w:t>
            </w:r>
          </w:p>
        </w:tc>
        <w:tc>
          <w:tcPr>
            <w:tcW w:type="dxa" w:w="1368"/>
          </w:tcPr>
          <w:p>
            <w:pPr>
              <w:keepNext/>
              <w:spacing w:after="0" w:line="240" w:lineRule="auto"/>
              <w:jc w:val="right"/>
            </w:pPr>
            <w:r>
              <w:rPr>
                <w:b w:val="0"/>
                <w:sz w:val="19"/>
              </w:rPr>
              <w:t>77.44</w:t>
            </w:r>
          </w:p>
        </w:tc>
        <w:tc>
          <w:tcPr>
            <w:tcW w:type="dxa" w:w="1224"/>
          </w:tcPr>
          <w:p>
            <w:pPr>
              <w:keepNext/>
              <w:spacing w:after="0" w:line="240" w:lineRule="auto"/>
              <w:jc w:val="right"/>
            </w:pPr>
            <w:r>
              <w:rPr>
                <w:b w:val="0"/>
                <w:sz w:val="19"/>
              </w:rPr>
              <w:t>3.86</w:t>
            </w:r>
          </w:p>
        </w:tc>
        <w:tc>
          <w:tcPr>
            <w:tcW w:type="dxa" w:w="1152"/>
          </w:tcPr>
          <w:p>
            <w:pPr>
              <w:keepNext/>
              <w:spacing w:after="0" w:line="240" w:lineRule="auto"/>
              <w:jc w:val="right"/>
            </w:pPr>
            <w:r>
              <w:rPr>
                <w:b w:val="0"/>
                <w:sz w:val="19"/>
              </w:rPr>
              <w:t>0.347</w:t>
            </w:r>
          </w:p>
        </w:tc>
        <w:tc>
          <w:tcPr>
            <w:tcW w:type="dxa" w:w="1008"/>
          </w:tcPr>
          <w:p>
            <w:pPr>
              <w:keepNext/>
              <w:spacing w:after="0" w:line="240" w:lineRule="auto"/>
              <w:jc w:val="right"/>
            </w:pPr>
            <w:r>
              <w:rPr>
                <w:b w:val="0"/>
                <w:sz w:val="19"/>
              </w:rPr>
              <w:t>20.04</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1.26</w:t>
            </w:r>
          </w:p>
        </w:tc>
      </w:tr>
      <w:tr>
        <w:trPr>
          <w:cantSplit w:val="true"/>
        </w:trPr>
        <w:tc>
          <w:tcPr>
            <w:tcW w:type="dxa" w:w="1944"/>
          </w:tcPr>
          <w:p>
            <w:pPr>
              <w:keepNext/>
              <w:spacing w:after="0" w:line="240" w:lineRule="auto"/>
              <w:jc w:val="left"/>
            </w:pPr>
            <w:r>
              <w:rPr>
                <w:b w:val="0"/>
                <w:sz w:val="19"/>
              </w:rPr>
              <w:t>Endcap</w:t>
            </w:r>
          </w:p>
        </w:tc>
        <w:tc>
          <w:tcPr>
            <w:tcW w:type="dxa" w:w="1368"/>
          </w:tcPr>
          <w:p>
            <w:pPr>
              <w:keepNext/>
              <w:spacing w:after="0" w:line="240" w:lineRule="auto"/>
              <w:jc w:val="right"/>
            </w:pPr>
            <w:r>
              <w:rPr>
                <w:b w:val="0"/>
                <w:sz w:val="19"/>
              </w:rPr>
              <w:t>305.10</w:t>
            </w:r>
          </w:p>
        </w:tc>
        <w:tc>
          <w:tcPr>
            <w:tcW w:type="dxa" w:w="1224"/>
          </w:tcPr>
          <w:p>
            <w:pPr>
              <w:keepNext/>
              <w:spacing w:after="0" w:line="240" w:lineRule="auto"/>
              <w:jc w:val="right"/>
            </w:pPr>
            <w:r>
              <w:rPr>
                <w:b w:val="0"/>
                <w:sz w:val="19"/>
              </w:rPr>
              <w:t>9.06</w:t>
            </w:r>
          </w:p>
        </w:tc>
        <w:tc>
          <w:tcPr>
            <w:tcW w:type="dxa" w:w="1152"/>
          </w:tcPr>
          <w:p>
            <w:pPr>
              <w:keepNext/>
              <w:spacing w:after="0" w:line="240" w:lineRule="auto"/>
              <w:jc w:val="right"/>
            </w:pPr>
            <w:r>
              <w:rPr>
                <w:b w:val="0"/>
                <w:sz w:val="19"/>
              </w:rPr>
              <w:t>0.527</w:t>
            </w:r>
          </w:p>
        </w:tc>
        <w:tc>
          <w:tcPr>
            <w:tcW w:type="dxa" w:w="1008"/>
          </w:tcPr>
          <w:p>
            <w:pPr>
              <w:keepNext/>
              <w:spacing w:after="0" w:line="240" w:lineRule="auto"/>
              <w:jc w:val="right"/>
            </w:pPr>
            <w:r>
              <w:rPr>
                <w:b w:val="0"/>
                <w:sz w:val="19"/>
              </w:rPr>
              <w:t>33.69</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1.03</w:t>
            </w:r>
          </w:p>
        </w:tc>
      </w:tr>
      <w:tr>
        <w:trPr>
          <w:cantSplit w:val="true"/>
        </w:trPr>
        <w:tc>
          <w:tcPr>
            <w:tcW w:type="dxa" w:w="1944"/>
          </w:tcPr>
          <w:p>
            <w:pPr>
              <w:keepNext/>
              <w:spacing w:after="0" w:line="240" w:lineRule="auto"/>
              <w:jc w:val="left"/>
            </w:pPr>
            <w:r>
              <w:rPr>
                <w:b w:val="0"/>
                <w:sz w:val="19"/>
              </w:rPr>
              <w:t>Demo</w:t>
            </w:r>
          </w:p>
        </w:tc>
        <w:tc>
          <w:tcPr>
            <w:tcW w:type="dxa" w:w="1368"/>
          </w:tcPr>
          <w:p>
            <w:pPr>
              <w:keepNext/>
              <w:spacing w:after="0" w:line="240" w:lineRule="auto"/>
              <w:jc w:val="right"/>
            </w:pPr>
            <w:r>
              <w:rPr>
                <w:b w:val="0"/>
                <w:sz w:val="19"/>
              </w:rPr>
              <w:t>111.13</w:t>
            </w:r>
          </w:p>
        </w:tc>
        <w:tc>
          <w:tcPr>
            <w:tcW w:type="dxa" w:w="1224"/>
          </w:tcPr>
          <w:p>
            <w:pPr>
              <w:keepNext/>
              <w:spacing w:after="0" w:line="240" w:lineRule="auto"/>
              <w:jc w:val="right"/>
            </w:pPr>
            <w:r>
              <w:rPr>
                <w:b w:val="0"/>
                <w:sz w:val="19"/>
              </w:rPr>
              <w:t>7.40</w:t>
            </w:r>
          </w:p>
        </w:tc>
        <w:tc>
          <w:tcPr>
            <w:tcW w:type="dxa" w:w="1152"/>
          </w:tcPr>
          <w:p>
            <w:pPr>
              <w:keepNext/>
              <w:spacing w:after="0" w:line="240" w:lineRule="auto"/>
              <w:jc w:val="right"/>
            </w:pPr>
            <w:r>
              <w:rPr>
                <w:b w:val="0"/>
                <w:sz w:val="19"/>
              </w:rPr>
              <w:t>0.235</w:t>
            </w:r>
          </w:p>
        </w:tc>
        <w:tc>
          <w:tcPr>
            <w:tcW w:type="dxa" w:w="1008"/>
          </w:tcPr>
          <w:p>
            <w:pPr>
              <w:keepNext/>
              <w:spacing w:after="0" w:line="240" w:lineRule="auto"/>
              <w:jc w:val="right"/>
            </w:pPr>
            <w:r>
              <w:rPr>
                <w:b w:val="0"/>
                <w:sz w:val="19"/>
              </w:rPr>
              <w:t>15.01</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1.03</w:t>
            </w:r>
          </w:p>
        </w:tc>
      </w:tr>
      <w:tr>
        <w:trPr>
          <w:cantSplit w:val="true"/>
        </w:trPr>
        <w:tc>
          <w:tcPr>
            <w:tcW w:type="dxa" w:w="1944"/>
          </w:tcPr>
          <w:p>
            <w:pPr>
              <w:keepNext/>
              <w:spacing w:after="0" w:line="240" w:lineRule="auto"/>
              <w:jc w:val="left"/>
            </w:pPr>
            <w:r>
              <w:rPr>
                <w:b w:val="0"/>
                <w:sz w:val="19"/>
              </w:rPr>
              <w:t>Demo1-3</w:t>
            </w:r>
          </w:p>
        </w:tc>
        <w:tc>
          <w:tcPr>
            <w:tcW w:type="dxa" w:w="1368"/>
          </w:tcPr>
          <w:p>
            <w:pPr>
              <w:keepNext/>
              <w:spacing w:after="0" w:line="240" w:lineRule="auto"/>
              <w:jc w:val="right"/>
            </w:pPr>
            <w:r>
              <w:rPr>
                <w:b w:val="0"/>
                <w:sz w:val="19"/>
              </w:rPr>
              <w:t>73.52</w:t>
            </w:r>
          </w:p>
        </w:tc>
        <w:tc>
          <w:tcPr>
            <w:tcW w:type="dxa" w:w="1224"/>
          </w:tcPr>
          <w:p>
            <w:pPr>
              <w:keepNext/>
              <w:spacing w:after="0" w:line="240" w:lineRule="auto"/>
              <w:jc w:val="right"/>
            </w:pPr>
            <w:r>
              <w:rPr>
                <w:b w:val="0"/>
                <w:sz w:val="19"/>
              </w:rPr>
              <w:t>4.90</w:t>
            </w:r>
          </w:p>
        </w:tc>
        <w:tc>
          <w:tcPr>
            <w:tcW w:type="dxa" w:w="1152"/>
          </w:tcPr>
          <w:p>
            <w:pPr>
              <w:keepNext/>
              <w:spacing w:after="0" w:line="240" w:lineRule="auto"/>
              <w:jc w:val="right"/>
            </w:pPr>
            <w:r>
              <w:rPr>
                <w:b w:val="0"/>
                <w:sz w:val="19"/>
              </w:rPr>
              <w:t>0.241</w:t>
            </w:r>
          </w:p>
        </w:tc>
        <w:tc>
          <w:tcPr>
            <w:tcW w:type="dxa" w:w="1008"/>
          </w:tcPr>
          <w:p>
            <w:pPr>
              <w:keepNext/>
              <w:spacing w:after="0" w:line="240" w:lineRule="auto"/>
              <w:jc w:val="right"/>
            </w:pPr>
            <w:r>
              <w:rPr>
                <w:b w:val="0"/>
                <w:sz w:val="19"/>
              </w:rPr>
              <w:t>15.02</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1.08</w:t>
            </w:r>
          </w:p>
        </w:tc>
      </w:tr>
      <w:tr>
        <w:trPr>
          <w:cantSplit w:val="true"/>
        </w:trPr>
        <w:tc>
          <w:tcPr>
            <w:tcW w:type="dxa" w:w="1944"/>
          </w:tcPr>
          <w:p>
            <w:pPr>
              <w:keepNext/>
              <w:spacing w:after="0" w:line="240" w:lineRule="auto"/>
              <w:jc w:val="left"/>
            </w:pPr>
            <w:r>
              <w:rPr>
                <w:b w:val="0"/>
                <w:sz w:val="19"/>
              </w:rPr>
              <w:t>Demo4-5</w:t>
            </w:r>
          </w:p>
        </w:tc>
        <w:tc>
          <w:tcPr>
            <w:tcW w:type="dxa" w:w="1368"/>
          </w:tcPr>
          <w:p>
            <w:pPr>
              <w:keepNext/>
              <w:spacing w:after="0" w:line="240" w:lineRule="auto"/>
              <w:jc w:val="right"/>
            </w:pPr>
            <w:r>
              <w:rPr>
                <w:b w:val="0"/>
                <w:sz w:val="19"/>
              </w:rPr>
              <w:t>67.57</w:t>
            </w:r>
          </w:p>
        </w:tc>
        <w:tc>
          <w:tcPr>
            <w:tcW w:type="dxa" w:w="1224"/>
          </w:tcPr>
          <w:p>
            <w:pPr>
              <w:keepNext/>
              <w:spacing w:after="0" w:line="240" w:lineRule="auto"/>
              <w:jc w:val="right"/>
            </w:pPr>
            <w:r>
              <w:rPr>
                <w:b w:val="0"/>
                <w:sz w:val="19"/>
              </w:rPr>
              <w:t>6.54</w:t>
            </w:r>
          </w:p>
        </w:tc>
        <w:tc>
          <w:tcPr>
            <w:tcW w:type="dxa" w:w="1152"/>
          </w:tcPr>
          <w:p>
            <w:pPr>
              <w:keepNext/>
              <w:spacing w:after="0" w:line="240" w:lineRule="auto"/>
              <w:jc w:val="right"/>
            </w:pPr>
            <w:r>
              <w:rPr>
                <w:b w:val="0"/>
                <w:sz w:val="19"/>
              </w:rPr>
              <w:t>0.161</w:t>
            </w:r>
          </w:p>
        </w:tc>
        <w:tc>
          <w:tcPr>
            <w:tcW w:type="dxa" w:w="1008"/>
          </w:tcPr>
          <w:p>
            <w:pPr>
              <w:keepNext/>
              <w:spacing w:after="0" w:line="240" w:lineRule="auto"/>
              <w:jc w:val="right"/>
            </w:pPr>
            <w:r>
              <w:rPr>
                <w:b w:val="0"/>
                <w:sz w:val="19"/>
              </w:rPr>
              <w:t>10.33</w:t>
            </w:r>
          </w:p>
        </w:tc>
        <w:tc>
          <w:tcPr>
            <w:tcW w:type="dxa" w:w="1152"/>
          </w:tcPr>
          <w:p>
            <w:pPr>
              <w:keepNext/>
              <w:spacing w:after="0" w:line="240" w:lineRule="auto"/>
              <w:jc w:val="right"/>
            </w:pPr>
            <w:r>
              <w:rPr>
                <w:b w:val="0"/>
                <w:sz w:val="19"/>
              </w:rPr>
              <w:t>&lt;0.001</w:t>
            </w:r>
          </w:p>
        </w:tc>
        <w:tc>
          <w:tcPr>
            <w:tcW w:type="dxa" w:w="864"/>
          </w:tcPr>
          <w:p>
            <w:pPr>
              <w:keepNext/>
              <w:spacing w:after="0" w:line="240" w:lineRule="auto"/>
              <w:jc w:val="right"/>
            </w:pPr>
            <w:r>
              <w:rPr>
                <w:b w:val="0"/>
                <w:sz w:val="19"/>
              </w:rPr>
              <w:t>1.02</w:t>
            </w:r>
          </w:p>
        </w:tc>
      </w:tr>
      <w:tr>
        <w:trPr>
          <w:cantSplit w:val="true"/>
        </w:trPr>
        <w:tc>
          <w:tcPr>
            <w:tcW w:type="dxa" w:w="1944"/>
            <w:shd w:val="clear" w:color="auto" w:fill="FBF1B8"/>
          </w:tcPr>
          <w:p>
            <w:pPr>
              <w:keepNext/>
              <w:spacing w:after="0" w:line="240" w:lineRule="auto"/>
              <w:jc w:val="left"/>
            </w:pPr>
            <w:r>
              <w:rPr>
                <w:b w:val="0"/>
                <w:sz w:val="19"/>
              </w:rPr>
              <w:t>Natural</w:t>
            </w:r>
          </w:p>
        </w:tc>
        <w:tc>
          <w:tcPr>
            <w:tcW w:type="dxa" w:w="1368"/>
            <w:shd w:val="clear" w:color="auto" w:fill="FBF1B8"/>
          </w:tcPr>
          <w:p>
            <w:pPr>
              <w:keepNext/>
              <w:spacing w:after="0" w:line="240" w:lineRule="auto"/>
              <w:jc w:val="right"/>
            </w:pPr>
            <w:r>
              <w:rPr>
                <w:b w:val="0"/>
                <w:sz w:val="19"/>
              </w:rPr>
              <w:t>−1.59</w:t>
            </w:r>
          </w:p>
        </w:tc>
        <w:tc>
          <w:tcPr>
            <w:tcW w:type="dxa" w:w="1224"/>
            <w:shd w:val="clear" w:color="auto" w:fill="FBF1B8"/>
          </w:tcPr>
          <w:p>
            <w:pPr>
              <w:keepNext/>
              <w:spacing w:after="0" w:line="240" w:lineRule="auto"/>
              <w:jc w:val="right"/>
            </w:pPr>
            <w:r>
              <w:rPr>
                <w:b w:val="0"/>
                <w:sz w:val="19"/>
              </w:rPr>
              <w:t>1.78</w:t>
            </w:r>
          </w:p>
        </w:tc>
        <w:tc>
          <w:tcPr>
            <w:tcW w:type="dxa" w:w="1152"/>
            <w:shd w:val="clear" w:color="auto" w:fill="FBF1B8"/>
          </w:tcPr>
          <w:p>
            <w:pPr>
              <w:keepNext/>
              <w:spacing w:after="0" w:line="240" w:lineRule="auto"/>
              <w:jc w:val="right"/>
            </w:pPr>
            <w:r>
              <w:rPr>
                <w:b w:val="0"/>
                <w:sz w:val="19"/>
              </w:rPr>
              <w:t>−0.014</w:t>
            </w:r>
          </w:p>
        </w:tc>
        <w:tc>
          <w:tcPr>
            <w:tcW w:type="dxa" w:w="1008"/>
            <w:shd w:val="clear" w:color="auto" w:fill="FBF1B8"/>
          </w:tcPr>
          <w:p>
            <w:pPr>
              <w:keepNext/>
              <w:spacing w:after="0" w:line="240" w:lineRule="auto"/>
              <w:jc w:val="right"/>
            </w:pPr>
            <w:r>
              <w:rPr>
                <w:b w:val="0"/>
                <w:sz w:val="19"/>
              </w:rPr>
              <w:t>−0.90</w:t>
            </w:r>
          </w:p>
        </w:tc>
        <w:tc>
          <w:tcPr>
            <w:tcW w:type="dxa" w:w="1152"/>
            <w:shd w:val="clear" w:color="auto" w:fill="FBF1B8"/>
          </w:tcPr>
          <w:p>
            <w:pPr>
              <w:keepNext/>
              <w:spacing w:after="0" w:line="240" w:lineRule="auto"/>
              <w:jc w:val="right"/>
            </w:pPr>
            <w:r>
              <w:rPr>
                <w:b w:val="0"/>
                <w:sz w:val="19"/>
              </w:rPr>
              <w:t>0.370</w:t>
            </w:r>
          </w:p>
        </w:tc>
        <w:tc>
          <w:tcPr>
            <w:tcW w:type="dxa" w:w="864"/>
            <w:shd w:val="clear" w:color="auto" w:fill="FBF1B8"/>
          </w:tcPr>
          <w:p>
            <w:pPr>
              <w:keepNext/>
              <w:spacing w:after="0" w:line="240" w:lineRule="auto"/>
              <w:jc w:val="right"/>
            </w:pPr>
            <w:r>
              <w:rPr>
                <w:b w:val="0"/>
                <w:sz w:val="19"/>
              </w:rPr>
              <w:t>1.02</w:t>
            </w:r>
          </w:p>
        </w:tc>
      </w:tr>
      <w:tr>
        <w:trPr>
          <w:cantSplit w:val="true"/>
        </w:trPr>
        <w:tc>
          <w:tcPr>
            <w:tcW w:type="dxa" w:w="1944"/>
            <w:shd w:val="clear" w:color="auto" w:fill="FBF1B8"/>
          </w:tcPr>
          <w:p>
            <w:pPr>
              <w:spacing w:after="0" w:line="240" w:lineRule="auto"/>
              <w:jc w:val="left"/>
            </w:pPr>
            <w:r>
              <w:rPr>
                <w:b w:val="0"/>
                <w:sz w:val="19"/>
              </w:rPr>
              <w:t>Fitness</w:t>
            </w:r>
          </w:p>
        </w:tc>
        <w:tc>
          <w:tcPr>
            <w:tcW w:type="dxa" w:w="1368"/>
            <w:shd w:val="clear" w:color="auto" w:fill="FBF1B8"/>
          </w:tcPr>
          <w:p>
            <w:pPr>
              <w:spacing w:after="0" w:line="240" w:lineRule="auto"/>
              <w:jc w:val="right"/>
            </w:pPr>
            <w:r>
              <w:rPr>
                <w:b w:val="0"/>
                <w:sz w:val="19"/>
              </w:rPr>
              <w:t>−1.02</w:t>
            </w:r>
          </w:p>
        </w:tc>
        <w:tc>
          <w:tcPr>
            <w:tcW w:type="dxa" w:w="1224"/>
            <w:shd w:val="clear" w:color="auto" w:fill="FBF1B8"/>
          </w:tcPr>
          <w:p>
            <w:pPr>
              <w:spacing w:after="0" w:line="240" w:lineRule="auto"/>
              <w:jc w:val="right"/>
            </w:pPr>
            <w:r>
              <w:rPr>
                <w:b w:val="0"/>
                <w:sz w:val="19"/>
              </w:rPr>
              <w:t>1.08</w:t>
            </w:r>
          </w:p>
        </w:tc>
        <w:tc>
          <w:tcPr>
            <w:tcW w:type="dxa" w:w="1152"/>
            <w:shd w:val="clear" w:color="auto" w:fill="FBF1B8"/>
          </w:tcPr>
          <w:p>
            <w:pPr>
              <w:spacing w:after="0" w:line="240" w:lineRule="auto"/>
              <w:jc w:val="right"/>
            </w:pPr>
            <w:r>
              <w:rPr>
                <w:b w:val="0"/>
                <w:sz w:val="19"/>
              </w:rPr>
              <w:t>−0.015</w:t>
            </w:r>
          </w:p>
        </w:tc>
        <w:tc>
          <w:tcPr>
            <w:tcW w:type="dxa" w:w="1008"/>
            <w:shd w:val="clear" w:color="auto" w:fill="FBF1B8"/>
          </w:tcPr>
          <w:p>
            <w:pPr>
              <w:spacing w:after="0" w:line="240" w:lineRule="auto"/>
              <w:jc w:val="right"/>
            </w:pPr>
            <w:r>
              <w:rPr>
                <w:b w:val="0"/>
                <w:sz w:val="19"/>
              </w:rPr>
              <w:t>−0.94</w:t>
            </w:r>
          </w:p>
        </w:tc>
        <w:tc>
          <w:tcPr>
            <w:tcW w:type="dxa" w:w="1152"/>
            <w:shd w:val="clear" w:color="auto" w:fill="FBF1B8"/>
          </w:tcPr>
          <w:p>
            <w:pPr>
              <w:spacing w:after="0" w:line="240" w:lineRule="auto"/>
              <w:jc w:val="right"/>
            </w:pPr>
            <w:r>
              <w:rPr>
                <w:b w:val="0"/>
                <w:sz w:val="19"/>
              </w:rPr>
              <w:t>0.347</w:t>
            </w:r>
          </w:p>
        </w:tc>
        <w:tc>
          <w:tcPr>
            <w:tcW w:type="dxa" w:w="864"/>
            <w:shd w:val="clear" w:color="auto" w:fill="FBF1B8"/>
          </w:tcPr>
          <w:p>
            <w:pPr>
              <w:spacing w:after="0" w:line="240" w:lineRule="auto"/>
              <w:jc w:val="right"/>
            </w:pPr>
            <w:r>
              <w:rPr>
                <w:b w:val="0"/>
                <w:sz w:val="19"/>
              </w:rPr>
              <w:t>1.02</w:t>
            </w:r>
          </w:p>
        </w:tc>
      </w:tr>
    </w:tbl>
    <w:p>
      <w:pPr>
        <w:spacing w:after="40" w:line="120" w:lineRule="auto"/>
      </w:pPr>
    </w:p>
    <w:p>
      <w:pPr>
        <w:keepNext/>
        <w:spacing w:before="120" w:after="60"/>
        <w:jc w:val="left"/>
      </w:pPr>
      <w:r>
        <w:rPr>
          <w:b/>
          <w:color w:val="333333"/>
          <w:sz w:val="20"/>
        </w:rPr>
        <w:t>Table 2.2: ANOVA for Model 1</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872"/>
        <w:gridCol w:w="2016"/>
        <w:gridCol w:w="1008"/>
        <w:gridCol w:w="1872"/>
        <w:gridCol w:w="1152"/>
        <w:gridCol w:w="1296"/>
      </w:tblGrid>
      <w:tr>
        <w:trPr>
          <w:tblHeader w:val="true"/>
          <w:cantSplit w:val="true"/>
        </w:trPr>
        <w:tc>
          <w:tcPr>
            <w:tcW w:type="dxa" w:w="1872"/>
            <w:shd w:val="clear" w:color="auto" w:fill="6B1B28"/>
          </w:tcPr>
          <w:p>
            <w:pPr>
              <w:keepNext/>
              <w:spacing w:after="0" w:line="240" w:lineRule="auto"/>
              <w:jc w:val="left"/>
            </w:pPr>
            <w:r>
              <w:rPr>
                <w:b/>
                <w:color w:val="FFFFFF"/>
                <w:sz w:val="19"/>
              </w:rPr>
              <w:t>Source</w:t>
            </w:r>
          </w:p>
        </w:tc>
        <w:tc>
          <w:tcPr>
            <w:tcW w:type="dxa" w:w="2016"/>
            <w:shd w:val="clear" w:color="auto" w:fill="6B1B28"/>
          </w:tcPr>
          <w:p>
            <w:pPr>
              <w:keepNext/>
              <w:spacing w:after="0" w:line="240" w:lineRule="auto"/>
              <w:jc w:val="right"/>
            </w:pPr>
            <w:r>
              <w:rPr>
                <w:b/>
                <w:color w:val="FFFFFF"/>
                <w:sz w:val="19"/>
              </w:rPr>
              <w:t>Sum of squares</w:t>
            </w:r>
          </w:p>
        </w:tc>
        <w:tc>
          <w:tcPr>
            <w:tcW w:type="dxa" w:w="1008"/>
            <w:shd w:val="clear" w:color="auto" w:fill="6B1B28"/>
          </w:tcPr>
          <w:p>
            <w:pPr>
              <w:keepNext/>
              <w:spacing w:after="0" w:line="240" w:lineRule="auto"/>
              <w:jc w:val="right"/>
            </w:pPr>
            <w:r>
              <w:rPr>
                <w:b/>
                <w:color w:val="FFFFFF"/>
                <w:sz w:val="19"/>
              </w:rPr>
              <w:t>df</w:t>
            </w:r>
          </w:p>
        </w:tc>
        <w:tc>
          <w:tcPr>
            <w:tcW w:type="dxa" w:w="1872"/>
            <w:shd w:val="clear" w:color="auto" w:fill="6B1B28"/>
          </w:tcPr>
          <w:p>
            <w:pPr>
              <w:keepNext/>
              <w:spacing w:after="0" w:line="240" w:lineRule="auto"/>
              <w:jc w:val="right"/>
            </w:pPr>
            <w:r>
              <w:rPr>
                <w:b/>
                <w:color w:val="FFFFFF"/>
                <w:sz w:val="19"/>
              </w:rPr>
              <w:t>Mean square</w:t>
            </w:r>
          </w:p>
        </w:tc>
        <w:tc>
          <w:tcPr>
            <w:tcW w:type="dxa" w:w="1152"/>
            <w:shd w:val="clear" w:color="auto" w:fill="6B1B28"/>
          </w:tcPr>
          <w:p>
            <w:pPr>
              <w:keepNext/>
              <w:spacing w:after="0" w:line="240" w:lineRule="auto"/>
              <w:jc w:val="right"/>
            </w:pPr>
            <w:r>
              <w:rPr>
                <w:b/>
                <w:color w:val="FFFFFF"/>
                <w:sz w:val="19"/>
              </w:rPr>
              <w:t>F</w:t>
            </w:r>
          </w:p>
        </w:tc>
        <w:tc>
          <w:tcPr>
            <w:tcW w:type="dxa" w:w="1296"/>
            <w:shd w:val="clear" w:color="auto" w:fill="6B1B28"/>
          </w:tcPr>
          <w:p>
            <w:pPr>
              <w:keepNext/>
              <w:spacing w:after="0" w:line="240" w:lineRule="auto"/>
              <w:jc w:val="right"/>
            </w:pPr>
            <w:r>
              <w:rPr>
                <w:b/>
                <w:color w:val="FFFFFF"/>
                <w:sz w:val="19"/>
              </w:rPr>
              <w:t>p-value</w:t>
            </w:r>
          </w:p>
        </w:tc>
      </w:tr>
      <w:tr>
        <w:trPr>
          <w:cantSplit w:val="true"/>
        </w:trPr>
        <w:tc>
          <w:tcPr>
            <w:tcW w:type="dxa" w:w="1872"/>
          </w:tcPr>
          <w:p>
            <w:pPr>
              <w:keepNext/>
              <w:spacing w:after="0" w:line="240" w:lineRule="auto"/>
              <w:jc w:val="left"/>
            </w:pPr>
            <w:r>
              <w:rPr>
                <w:b w:val="0"/>
                <w:sz w:val="19"/>
              </w:rPr>
              <w:t>Regression</w:t>
            </w:r>
          </w:p>
        </w:tc>
        <w:tc>
          <w:tcPr>
            <w:tcW w:type="dxa" w:w="2016"/>
          </w:tcPr>
          <w:p>
            <w:pPr>
              <w:keepNext/>
              <w:spacing w:after="0" w:line="240" w:lineRule="auto"/>
              <w:jc w:val="right"/>
            </w:pPr>
            <w:r>
              <w:rPr>
                <w:b w:val="0"/>
                <w:sz w:val="19"/>
              </w:rPr>
              <w:t>11,477,979</w:t>
            </w:r>
          </w:p>
        </w:tc>
        <w:tc>
          <w:tcPr>
            <w:tcW w:type="dxa" w:w="1008"/>
          </w:tcPr>
          <w:p>
            <w:pPr>
              <w:keepNext/>
              <w:spacing w:after="0" w:line="240" w:lineRule="auto"/>
              <w:jc w:val="right"/>
            </w:pPr>
            <w:r>
              <w:rPr>
                <w:b w:val="0"/>
                <w:sz w:val="19"/>
              </w:rPr>
              <w:t>8</w:t>
            </w:r>
          </w:p>
        </w:tc>
        <w:tc>
          <w:tcPr>
            <w:tcW w:type="dxa" w:w="1872"/>
          </w:tcPr>
          <w:p>
            <w:pPr>
              <w:keepNext/>
              <w:spacing w:after="0" w:line="240" w:lineRule="auto"/>
              <w:jc w:val="right"/>
            </w:pPr>
            <w:r>
              <w:rPr>
                <w:b w:val="0"/>
                <w:sz w:val="19"/>
              </w:rPr>
              <w:t>1,434,747</w:t>
            </w:r>
          </w:p>
        </w:tc>
        <w:tc>
          <w:tcPr>
            <w:tcW w:type="dxa" w:w="1152"/>
          </w:tcPr>
          <w:p>
            <w:pPr>
              <w:keepNext/>
              <w:spacing w:after="0" w:line="240" w:lineRule="auto"/>
              <w:jc w:val="right"/>
            </w:pPr>
            <w:r>
              <w:rPr>
                <w:b w:val="0"/>
                <w:sz w:val="19"/>
              </w:rPr>
              <w:t>353.7</w:t>
            </w:r>
          </w:p>
        </w:tc>
        <w:tc>
          <w:tcPr>
            <w:tcW w:type="dxa" w:w="1296"/>
          </w:tcPr>
          <w:p>
            <w:pPr>
              <w:keepNext/>
              <w:spacing w:after="0" w:line="240" w:lineRule="auto"/>
              <w:jc w:val="right"/>
            </w:pPr>
            <w:r>
              <w:rPr>
                <w:b w:val="0"/>
                <w:sz w:val="19"/>
              </w:rPr>
              <w:t>&lt;0.001</w:t>
            </w:r>
          </w:p>
        </w:tc>
      </w:tr>
      <w:tr>
        <w:trPr>
          <w:cantSplit w:val="true"/>
        </w:trPr>
        <w:tc>
          <w:tcPr>
            <w:tcW w:type="dxa" w:w="1872"/>
            <w:shd w:val="clear" w:color="auto" w:fill="F5F2EF"/>
          </w:tcPr>
          <w:p>
            <w:pPr>
              <w:keepNext/>
              <w:spacing w:after="0" w:line="240" w:lineRule="auto"/>
              <w:jc w:val="left"/>
            </w:pPr>
            <w:r>
              <w:rPr>
                <w:b w:val="0"/>
                <w:sz w:val="19"/>
              </w:rPr>
              <w:t>Residual</w:t>
            </w:r>
          </w:p>
        </w:tc>
        <w:tc>
          <w:tcPr>
            <w:tcW w:type="dxa" w:w="2016"/>
            <w:shd w:val="clear" w:color="auto" w:fill="F5F2EF"/>
          </w:tcPr>
          <w:p>
            <w:pPr>
              <w:keepNext/>
              <w:spacing w:after="0" w:line="240" w:lineRule="auto"/>
              <w:jc w:val="right"/>
            </w:pPr>
            <w:r>
              <w:rPr>
                <w:b w:val="0"/>
                <w:sz w:val="19"/>
              </w:rPr>
              <w:t>5,586,216</w:t>
            </w:r>
          </w:p>
        </w:tc>
        <w:tc>
          <w:tcPr>
            <w:tcW w:type="dxa" w:w="1008"/>
            <w:shd w:val="clear" w:color="auto" w:fill="F5F2EF"/>
          </w:tcPr>
          <w:p>
            <w:pPr>
              <w:keepNext/>
              <w:spacing w:after="0" w:line="240" w:lineRule="auto"/>
              <w:jc w:val="right"/>
            </w:pPr>
            <w:r>
              <w:rPr>
                <w:b w:val="0"/>
                <w:sz w:val="19"/>
              </w:rPr>
              <w:t>1,377</w:t>
            </w:r>
          </w:p>
        </w:tc>
        <w:tc>
          <w:tcPr>
            <w:tcW w:type="dxa" w:w="1872"/>
            <w:shd w:val="clear" w:color="auto" w:fill="F5F2EF"/>
          </w:tcPr>
          <w:p>
            <w:pPr>
              <w:keepNext/>
              <w:spacing w:after="0" w:line="240" w:lineRule="auto"/>
              <w:jc w:val="right"/>
            </w:pPr>
            <w:r>
              <w:rPr>
                <w:b w:val="0"/>
                <w:sz w:val="19"/>
              </w:rPr>
              <w:t>4,057</w:t>
            </w:r>
          </w:p>
        </w:tc>
        <w:tc>
          <w:tcPr>
            <w:tcW w:type="dxa" w:w="1152"/>
            <w:shd w:val="clear" w:color="auto" w:fill="F5F2EF"/>
          </w:tcPr>
          <w:p>
            <w:pPr>
              <w:keepNext/>
              <w:spacing w:after="0" w:line="240" w:lineRule="auto"/>
              <w:jc w:val="right"/>
            </w:pPr>
          </w:p>
        </w:tc>
        <w:tc>
          <w:tcPr>
            <w:tcW w:type="dxa" w:w="1296"/>
            <w:shd w:val="clear" w:color="auto" w:fill="F5F2EF"/>
          </w:tcPr>
          <w:p>
            <w:pPr>
              <w:keepNext/>
              <w:spacing w:after="0" w:line="240" w:lineRule="auto"/>
              <w:jc w:val="right"/>
            </w:pPr>
          </w:p>
        </w:tc>
      </w:tr>
      <w:tr>
        <w:trPr>
          <w:cantSplit w:val="true"/>
        </w:trPr>
        <w:tc>
          <w:tcPr>
            <w:tcW w:type="dxa" w:w="1872"/>
          </w:tcPr>
          <w:p>
            <w:pPr>
              <w:spacing w:after="0" w:line="240" w:lineRule="auto"/>
              <w:jc w:val="left"/>
            </w:pPr>
            <w:r>
              <w:rPr>
                <w:b w:val="0"/>
                <w:sz w:val="19"/>
              </w:rPr>
              <w:t>Total</w:t>
            </w:r>
          </w:p>
        </w:tc>
        <w:tc>
          <w:tcPr>
            <w:tcW w:type="dxa" w:w="2016"/>
          </w:tcPr>
          <w:p>
            <w:pPr>
              <w:spacing w:after="0" w:line="240" w:lineRule="auto"/>
              <w:jc w:val="right"/>
            </w:pPr>
            <w:r>
              <w:rPr>
                <w:b w:val="0"/>
                <w:sz w:val="19"/>
              </w:rPr>
              <w:t>17,064,195</w:t>
            </w:r>
          </w:p>
        </w:tc>
        <w:tc>
          <w:tcPr>
            <w:tcW w:type="dxa" w:w="1008"/>
          </w:tcPr>
          <w:p>
            <w:pPr>
              <w:spacing w:after="0" w:line="240" w:lineRule="auto"/>
              <w:jc w:val="right"/>
            </w:pPr>
            <w:r>
              <w:rPr>
                <w:b w:val="0"/>
                <w:sz w:val="19"/>
              </w:rPr>
              <w:t>1,385</w:t>
            </w:r>
          </w:p>
        </w:tc>
        <w:tc>
          <w:tcPr>
            <w:tcW w:type="dxa" w:w="1872"/>
          </w:tcPr>
          <w:p>
            <w:pPr>
              <w:spacing w:after="0" w:line="240" w:lineRule="auto"/>
              <w:jc w:val="right"/>
            </w:pPr>
          </w:p>
        </w:tc>
        <w:tc>
          <w:tcPr>
            <w:tcW w:type="dxa" w:w="1152"/>
          </w:tcPr>
          <w:p>
            <w:pPr>
              <w:spacing w:after="0" w:line="240" w:lineRule="auto"/>
              <w:jc w:val="right"/>
            </w:pPr>
          </w:p>
        </w:tc>
        <w:tc>
          <w:tcPr>
            <w:tcW w:type="dxa" w:w="1296"/>
          </w:tcPr>
          <w:p>
            <w:pPr>
              <w:spacing w:after="0" w:line="240" w:lineRule="auto"/>
              <w:jc w:val="right"/>
            </w:pPr>
          </w:p>
        </w:tc>
      </w:tr>
    </w:tbl>
    <w:p>
      <w:pPr>
        <w:spacing w:after="40" w:line="120" w:lineRule="auto"/>
      </w:pPr>
    </w:p>
    <w:p>
      <w:r>
        <w:rPr>
          <w:b w:val="0"/>
        </w:rPr>
        <w:t>Six of the eight variables are significant at the 1% level and have the signs we would expect: a higher price lowers sales, while a regional rep, an endcap and each of the three demo periods raise them. The endcap has the largest effect (+305 units, standardised beta 0.53), followed by the regional rep (+77) and the demo variables (+68 to +111). The number of natural retailers (p = 0.37) and fitness centres (p = 0.35) nearby are not significant, and their 95% confidence intervals include zero. Multicollinearity is not a concern: the variance inflation factors range from 1.02 to 1.26, far below the usual warning level of 4 to 5.</w:t>
      </w:r>
    </w:p>
    <w:p>
      <w:r>
        <w:rPr>
          <w:b w:val="0"/>
        </w:rPr>
        <w:t>A good fit and significant coefficients are only worth trusting if the assumptions of linear regression hold. We check them next.</w:t>
      </w:r>
    </w:p>
    <w:p>
      <w:pPr>
        <w:pStyle w:val="Heading1"/>
        <w:pBdr>
          <w:bottom w:val="single" w:sz="6" w:space="2" w:color="7A1E2E"/>
        </w:pBdr>
      </w:pPr>
      <w:r>
        <w:t>3. Checking the Assumptions for Model 1</w:t>
      </w:r>
    </w:p>
    <w:p>
      <w:r>
        <w:rPr>
          <w:b w:val="0"/>
        </w:rPr>
        <w:t>The residual plots and the Durbin-Watson statistic from JASP let us assess linearity, constant variance, independence and normality. If the assumptions hold, the residuals should form a single random band of constant width around zero and follow the normal distribution.</w:t>
      </w:r>
    </w:p>
    <w:p>
      <w:pPr>
        <w:keepNext/>
        <w:spacing w:after="20"/>
        <w:jc w:val="center"/>
      </w:pPr>
      <w:r>
        <w:drawing>
          <wp:inline xmlns:a="http://schemas.openxmlformats.org/drawingml/2006/main" xmlns:pic="http://schemas.openxmlformats.org/drawingml/2006/picture">
            <wp:extent cx="5120640" cy="3950208"/>
            <wp:docPr id="2" name="Picture 2"/>
            <wp:cNvGraphicFramePr>
              <a:graphicFrameLocks noChangeAspect="1"/>
            </wp:cNvGraphicFramePr>
            <a:graphic>
              <a:graphicData uri="http://schemas.openxmlformats.org/drawingml/2006/picture">
                <pic:pic>
                  <pic:nvPicPr>
                    <pic:cNvPr id="0" name="diag_base.png"/>
                    <pic:cNvPicPr/>
                  </pic:nvPicPr>
                  <pic:blipFill>
                    <a:blip r:embed="rId11"/>
                    <a:stretch>
                      <a:fillRect/>
                    </a:stretch>
                  </pic:blipFill>
                  <pic:spPr>
                    <a:xfrm>
                      <a:off x="0" y="0"/>
                      <a:ext cx="5120640" cy="3950208"/>
                    </a:xfrm>
                    <a:prstGeom prst="rect"/>
                  </pic:spPr>
                </pic:pic>
              </a:graphicData>
            </a:graphic>
          </wp:inline>
        </w:drawing>
      </w:r>
    </w:p>
    <w:p>
      <w:pPr>
        <w:spacing w:after="160"/>
        <w:jc w:val="center"/>
      </w:pPr>
      <w:r>
        <w:rPr>
          <w:b/>
          <w:color w:val="333333"/>
          <w:sz w:val="20"/>
        </w:rPr>
        <w:t>Figure 3.1: Residual diagnostics for Model 1</w:t>
      </w:r>
    </w:p>
    <w:p>
      <w:pPr>
        <w:pStyle w:val="Heading2"/>
      </w:pPr>
      <w:r>
        <w:t>3.1 Linearity and constant variance</w:t>
      </w:r>
    </w:p>
    <w:p>
      <w:r>
        <w:rPr>
          <w:b w:val="0"/>
        </w:rPr>
        <w:t xml:space="preserve">Most of the residuals form a compact band around zero, but not all of them. A separate group of points sits far below the line, at predicted values of roughly 450 to 600 units, with residuals between −213 and −364. Another group lies well above the line, with residuals between +57 and +228. Both groups consist entirely of endcap store-weeks. The residuals of the other 1,333 observations stay within about 172 units of zero (standard deviation 50), while those of the endcap weeks have a standard deviation of 209, about four times larger. Linearity and constant variance both </w:t>
      </w:r>
      <w:r>
        <w:rPr>
          <w:b/>
        </w:rPr>
        <w:t>fail</w:t>
      </w:r>
      <w:r>
        <w:rPr>
          <w:b w:val="0"/>
        </w:rPr>
        <w:t>: Model 1 gives every endcap the same effect of +305 units, which is too low for one group of stores and far too high for the other.</w:t>
      </w:r>
    </w:p>
    <w:p>
      <w:pPr>
        <w:pStyle w:val="Heading2"/>
      </w:pPr>
      <w:r>
        <w:t>3.2 Independence</w:t>
      </w:r>
    </w:p>
    <w:p>
      <w:r>
        <w:rPr>
          <w:b w:val="0"/>
        </w:rPr>
        <w:t xml:space="preserve">The Durbin-Watson statistic is 1.39, well below 2, which points to positive autocorrelation. This is what the residual plot would lead us to expect. The same 126 stores are observed for 11 weeks, and a store whose endcap is badly predicted in one week is badly predicted in the next. Independence </w:t>
      </w:r>
      <w:r>
        <w:rPr>
          <w:b/>
        </w:rPr>
        <w:t>fails</w:t>
      </w:r>
      <w:r>
        <w:rPr>
          <w:b w:val="0"/>
        </w:rPr>
        <w:t>.</w:t>
      </w:r>
    </w:p>
    <w:p>
      <w:pPr>
        <w:pStyle w:val="Heading2"/>
      </w:pPr>
      <w:r>
        <w:t>3.3 Normality</w:t>
      </w:r>
    </w:p>
    <w:p>
      <w:r>
        <w:rPr>
          <w:b w:val="0"/>
        </w:rPr>
        <w:t xml:space="preserve">The histogram and the Q-Q plot show a long lower tail. Residuals reach −5.8 standard deviations, where a normal distribution would stop near −3, and the skewness and kurtosis are −0.93 and 8.45 (normal values are 0 and 3). 23 residuals lie beyond three standard deviations against the four or so expected in a sample this size, and every one of them is an endcap observation. Normality </w:t>
      </w:r>
      <w:r>
        <w:rPr>
          <w:b/>
        </w:rPr>
        <w:t>fails</w:t>
      </w:r>
      <w:r>
        <w:rPr>
          <w:b w:val="0"/>
        </w:rPr>
        <w:t>.</w:t>
      </w:r>
    </w:p>
    <w:p>
      <w:pPr>
        <w:keepNext/>
        <w:spacing w:before="120" w:after="60"/>
        <w:jc w:val="left"/>
      </w:pPr>
      <w:r>
        <w:rPr>
          <w:b/>
          <w:color w:val="333333"/>
          <w:sz w:val="20"/>
        </w:rPr>
        <w:t>Table 3.1: Assumption checks for Model 1</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304"/>
        <w:gridCol w:w="5472"/>
        <w:gridCol w:w="1440"/>
      </w:tblGrid>
      <w:tr>
        <w:trPr>
          <w:tblHeader w:val="true"/>
          <w:cantSplit w:val="true"/>
        </w:trPr>
        <w:tc>
          <w:tcPr>
            <w:tcW w:type="dxa" w:w="2304"/>
            <w:shd w:val="clear" w:color="auto" w:fill="6B1B28"/>
          </w:tcPr>
          <w:p>
            <w:pPr>
              <w:keepNext/>
              <w:spacing w:after="0" w:line="240" w:lineRule="auto"/>
              <w:jc w:val="left"/>
            </w:pPr>
            <w:r>
              <w:rPr>
                <w:b/>
                <w:color w:val="FFFFFF"/>
                <w:sz w:val="19"/>
              </w:rPr>
              <w:t>Assumption</w:t>
            </w:r>
          </w:p>
        </w:tc>
        <w:tc>
          <w:tcPr>
            <w:tcW w:type="dxa" w:w="5472"/>
            <w:shd w:val="clear" w:color="auto" w:fill="6B1B28"/>
          </w:tcPr>
          <w:p>
            <w:pPr>
              <w:keepNext/>
              <w:spacing w:after="0" w:line="240" w:lineRule="auto"/>
              <w:jc w:val="left"/>
            </w:pPr>
            <w:r>
              <w:rPr>
                <w:b/>
                <w:color w:val="FFFFFF"/>
                <w:sz w:val="19"/>
              </w:rPr>
              <w:t>Evidence from Model 1</w:t>
            </w:r>
          </w:p>
        </w:tc>
        <w:tc>
          <w:tcPr>
            <w:tcW w:type="dxa" w:w="1440"/>
            <w:shd w:val="clear" w:color="auto" w:fill="6B1B28"/>
          </w:tcPr>
          <w:p>
            <w:pPr>
              <w:keepNext/>
              <w:spacing w:after="0" w:line="240" w:lineRule="auto"/>
              <w:jc w:val="left"/>
            </w:pPr>
            <w:r>
              <w:rPr>
                <w:b/>
                <w:color w:val="FFFFFF"/>
                <w:sz w:val="19"/>
              </w:rPr>
              <w:t>Result</w:t>
            </w:r>
          </w:p>
        </w:tc>
      </w:tr>
      <w:tr>
        <w:trPr>
          <w:cantSplit w:val="true"/>
        </w:trPr>
        <w:tc>
          <w:tcPr>
            <w:tcW w:type="dxa" w:w="2304"/>
          </w:tcPr>
          <w:p>
            <w:pPr>
              <w:keepNext/>
              <w:spacing w:after="0" w:line="240" w:lineRule="auto"/>
              <w:jc w:val="left"/>
            </w:pPr>
            <w:r>
              <w:rPr>
                <w:b w:val="0"/>
                <w:sz w:val="19"/>
              </w:rPr>
              <w:t>Linearity</w:t>
            </w:r>
          </w:p>
        </w:tc>
        <w:tc>
          <w:tcPr>
            <w:tcW w:type="dxa" w:w="5472"/>
          </w:tcPr>
          <w:p>
            <w:pPr>
              <w:keepNext/>
              <w:spacing w:after="0" w:line="240" w:lineRule="auto"/>
              <w:jc w:val="left"/>
            </w:pPr>
            <w:r>
              <w:rPr>
                <w:b w:val="0"/>
                <w:sz w:val="19"/>
              </w:rPr>
              <w:t>Endcap residuals split into two groups far from zero</w:t>
            </w:r>
          </w:p>
        </w:tc>
        <w:tc>
          <w:tcPr>
            <w:tcW w:type="dxa" w:w="1440"/>
          </w:tcPr>
          <w:p>
            <w:pPr>
              <w:keepNext/>
              <w:spacing w:after="0" w:line="240" w:lineRule="auto"/>
              <w:jc w:val="left"/>
            </w:pPr>
            <w:r>
              <w:rPr>
                <w:b w:val="0"/>
                <w:sz w:val="19"/>
              </w:rPr>
              <w:t>Fails</w:t>
            </w:r>
          </w:p>
        </w:tc>
      </w:tr>
      <w:tr>
        <w:trPr>
          <w:cantSplit w:val="true"/>
        </w:trPr>
        <w:tc>
          <w:tcPr>
            <w:tcW w:type="dxa" w:w="2304"/>
            <w:shd w:val="clear" w:color="auto" w:fill="F5F2EF"/>
          </w:tcPr>
          <w:p>
            <w:pPr>
              <w:keepNext/>
              <w:spacing w:after="0" w:line="240" w:lineRule="auto"/>
              <w:jc w:val="left"/>
            </w:pPr>
            <w:r>
              <w:rPr>
                <w:b w:val="0"/>
                <w:sz w:val="19"/>
              </w:rPr>
              <w:t>Constant variance</w:t>
            </w:r>
          </w:p>
        </w:tc>
        <w:tc>
          <w:tcPr>
            <w:tcW w:type="dxa" w:w="5472"/>
            <w:shd w:val="clear" w:color="auto" w:fill="F5F2EF"/>
          </w:tcPr>
          <w:p>
            <w:pPr>
              <w:keepNext/>
              <w:spacing w:after="0" w:line="240" w:lineRule="auto"/>
              <w:jc w:val="left"/>
            </w:pPr>
            <w:r>
              <w:rPr>
                <w:b w:val="0"/>
                <w:sz w:val="19"/>
              </w:rPr>
              <w:t>Residual SD 50 without endcap, 209 with</w:t>
            </w:r>
          </w:p>
        </w:tc>
        <w:tc>
          <w:tcPr>
            <w:tcW w:type="dxa" w:w="1440"/>
            <w:shd w:val="clear" w:color="auto" w:fill="F5F2EF"/>
          </w:tcPr>
          <w:p>
            <w:pPr>
              <w:keepNext/>
              <w:spacing w:after="0" w:line="240" w:lineRule="auto"/>
              <w:jc w:val="left"/>
            </w:pPr>
            <w:r>
              <w:rPr>
                <w:b w:val="0"/>
                <w:sz w:val="19"/>
              </w:rPr>
              <w:t>Fails</w:t>
            </w:r>
          </w:p>
        </w:tc>
      </w:tr>
      <w:tr>
        <w:trPr>
          <w:cantSplit w:val="true"/>
        </w:trPr>
        <w:tc>
          <w:tcPr>
            <w:tcW w:type="dxa" w:w="2304"/>
          </w:tcPr>
          <w:p>
            <w:pPr>
              <w:keepNext/>
              <w:spacing w:after="0" w:line="240" w:lineRule="auto"/>
              <w:jc w:val="left"/>
            </w:pPr>
            <w:r>
              <w:rPr>
                <w:b w:val="0"/>
                <w:sz w:val="19"/>
              </w:rPr>
              <w:t>Independence</w:t>
            </w:r>
          </w:p>
        </w:tc>
        <w:tc>
          <w:tcPr>
            <w:tcW w:type="dxa" w:w="5472"/>
          </w:tcPr>
          <w:p>
            <w:pPr>
              <w:keepNext/>
              <w:spacing w:after="0" w:line="240" w:lineRule="auto"/>
              <w:jc w:val="left"/>
            </w:pPr>
            <w:r>
              <w:rPr>
                <w:b w:val="0"/>
                <w:sz w:val="19"/>
              </w:rPr>
              <w:t>Durbin-Watson 1.39</w:t>
            </w:r>
          </w:p>
        </w:tc>
        <w:tc>
          <w:tcPr>
            <w:tcW w:type="dxa" w:w="1440"/>
          </w:tcPr>
          <w:p>
            <w:pPr>
              <w:keepNext/>
              <w:spacing w:after="0" w:line="240" w:lineRule="auto"/>
              <w:jc w:val="left"/>
            </w:pPr>
            <w:r>
              <w:rPr>
                <w:b w:val="0"/>
                <w:sz w:val="19"/>
              </w:rPr>
              <w:t>Fails</w:t>
            </w:r>
          </w:p>
        </w:tc>
      </w:tr>
      <w:tr>
        <w:trPr>
          <w:cantSplit w:val="true"/>
        </w:trPr>
        <w:tc>
          <w:tcPr>
            <w:tcW w:type="dxa" w:w="2304"/>
            <w:shd w:val="clear" w:color="auto" w:fill="F5F2EF"/>
          </w:tcPr>
          <w:p>
            <w:pPr>
              <w:keepNext/>
              <w:spacing w:after="0" w:line="240" w:lineRule="auto"/>
              <w:jc w:val="left"/>
            </w:pPr>
            <w:r>
              <w:rPr>
                <w:b w:val="0"/>
                <w:sz w:val="19"/>
              </w:rPr>
              <w:t>Normality</w:t>
            </w:r>
          </w:p>
        </w:tc>
        <w:tc>
          <w:tcPr>
            <w:tcW w:type="dxa" w:w="5472"/>
            <w:shd w:val="clear" w:color="auto" w:fill="F5F2EF"/>
          </w:tcPr>
          <w:p>
            <w:pPr>
              <w:keepNext/>
              <w:spacing w:after="0" w:line="240" w:lineRule="auto"/>
              <w:jc w:val="left"/>
            </w:pPr>
            <w:r>
              <w:rPr>
                <w:b w:val="0"/>
                <w:sz w:val="19"/>
              </w:rPr>
              <w:t>Skewness −0.93, kurtosis 8.45, 23 residuals beyond ±3 SD</w:t>
            </w:r>
          </w:p>
        </w:tc>
        <w:tc>
          <w:tcPr>
            <w:tcW w:type="dxa" w:w="1440"/>
            <w:shd w:val="clear" w:color="auto" w:fill="F5F2EF"/>
          </w:tcPr>
          <w:p>
            <w:pPr>
              <w:keepNext/>
              <w:spacing w:after="0" w:line="240" w:lineRule="auto"/>
              <w:jc w:val="left"/>
            </w:pPr>
            <w:r>
              <w:rPr>
                <w:b w:val="0"/>
                <w:sz w:val="19"/>
              </w:rPr>
              <w:t>Fails</w:t>
            </w:r>
          </w:p>
        </w:tc>
      </w:tr>
      <w:tr>
        <w:trPr>
          <w:cantSplit w:val="true"/>
        </w:trPr>
        <w:tc>
          <w:tcPr>
            <w:tcW w:type="dxa" w:w="2304"/>
          </w:tcPr>
          <w:p>
            <w:pPr>
              <w:spacing w:after="0" w:line="240" w:lineRule="auto"/>
              <w:jc w:val="left"/>
            </w:pPr>
            <w:r>
              <w:rPr>
                <w:b w:val="0"/>
                <w:sz w:val="19"/>
              </w:rPr>
              <w:t>No multicollinearity</w:t>
            </w:r>
          </w:p>
        </w:tc>
        <w:tc>
          <w:tcPr>
            <w:tcW w:type="dxa" w:w="5472"/>
          </w:tcPr>
          <w:p>
            <w:pPr>
              <w:spacing w:after="0" w:line="240" w:lineRule="auto"/>
              <w:jc w:val="left"/>
            </w:pPr>
            <w:r>
              <w:rPr>
                <w:b w:val="0"/>
                <w:sz w:val="19"/>
              </w:rPr>
              <w:t>Largest VIF 1.26</w:t>
            </w:r>
          </w:p>
        </w:tc>
        <w:tc>
          <w:tcPr>
            <w:tcW w:type="dxa" w:w="1440"/>
          </w:tcPr>
          <w:p>
            <w:pPr>
              <w:spacing w:after="0" w:line="240" w:lineRule="auto"/>
              <w:jc w:val="left"/>
            </w:pPr>
            <w:r>
              <w:rPr>
                <w:b w:val="0"/>
                <w:sz w:val="19"/>
              </w:rPr>
              <w:t>Satisfied</w:t>
            </w:r>
          </w:p>
        </w:tc>
      </w:tr>
    </w:tbl>
    <w:p>
      <w:pPr>
        <w:spacing w:after="40" w:line="120" w:lineRule="auto"/>
      </w:pPr>
    </w:p>
    <w:p>
      <w:r>
        <w:rPr>
          <w:b w:val="0"/>
        </w:rPr>
        <w:t>Model 1 fits well by R² but fails four of the five checks, and each failure leads back to the same endcap observations. A common first remedy for skewed residuals is to change the scale of the dependent variable, so we try that next.</w:t>
      </w:r>
    </w:p>
    <w:p>
      <w:pPr>
        <w:pStyle w:val="Heading1"/>
        <w:pBdr>
          <w:bottom w:val="single" w:sz="6" w:space="2" w:color="7A1E2E"/>
        </w:pBdr>
      </w:pPr>
      <w:r>
        <w:t>4. Model 2: The Log-Level Model</w:t>
      </w:r>
    </w:p>
    <w:p>
      <w:r>
        <w:rPr>
          <w:b w:val="0"/>
        </w:rPr>
        <w:t>Weekly units are right-skewed (skewness 2.59) and the residuals of Model 1 are left-skewed, which is the classic situation in which a log transformation of the dependent variable can help. Model 2 regresses the natural log of units on the same eight variables, which are left in their original levels. A coefficient b now means that units change by about 100·(e^b − 1)% when the variable increases by one unit.</w:t>
      </w:r>
    </w:p>
    <w:p>
      <w:pPr>
        <w:keepNext/>
        <w:spacing w:before="120" w:after="60"/>
        <w:jc w:val="left"/>
      </w:pPr>
      <w:r>
        <w:rPr>
          <w:b/>
          <w:color w:val="333333"/>
          <w:sz w:val="20"/>
        </w:rPr>
        <w:t>Table 4.1: Model 2 coefficients (dependent variable: ln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16"/>
        <w:gridCol w:w="1440"/>
        <w:gridCol w:w="1440"/>
        <w:gridCol w:w="1296"/>
        <w:gridCol w:w="1296"/>
        <w:gridCol w:w="1728"/>
      </w:tblGrid>
      <w:tr>
        <w:trPr>
          <w:tblHeader w:val="true"/>
          <w:cantSplit w:val="true"/>
        </w:trPr>
        <w:tc>
          <w:tcPr>
            <w:tcW w:type="dxa" w:w="2016"/>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right"/>
            </w:pPr>
            <w:r>
              <w:rPr>
                <w:b/>
                <w:color w:val="FFFFFF"/>
                <w:sz w:val="19"/>
              </w:rPr>
              <w:t>Coefficient</w:t>
            </w:r>
          </w:p>
        </w:tc>
        <w:tc>
          <w:tcPr>
            <w:tcW w:type="dxa" w:w="1440"/>
            <w:shd w:val="clear" w:color="auto" w:fill="6B1B28"/>
          </w:tcPr>
          <w:p>
            <w:pPr>
              <w:keepNext/>
              <w:spacing w:after="0" w:line="240" w:lineRule="auto"/>
              <w:jc w:val="right"/>
            </w:pPr>
            <w:r>
              <w:rPr>
                <w:b/>
                <w:color w:val="FFFFFF"/>
                <w:sz w:val="19"/>
              </w:rPr>
              <w:t>Std. error</w:t>
            </w:r>
          </w:p>
        </w:tc>
        <w:tc>
          <w:tcPr>
            <w:tcW w:type="dxa" w:w="1296"/>
            <w:shd w:val="clear" w:color="auto" w:fill="6B1B28"/>
          </w:tcPr>
          <w:p>
            <w:pPr>
              <w:keepNext/>
              <w:spacing w:after="0" w:line="240" w:lineRule="auto"/>
              <w:jc w:val="right"/>
            </w:pPr>
            <w:r>
              <w:rPr>
                <w:b/>
                <w:color w:val="FFFFFF"/>
                <w:sz w:val="19"/>
              </w:rPr>
              <w:t>t</w:t>
            </w:r>
          </w:p>
        </w:tc>
        <w:tc>
          <w:tcPr>
            <w:tcW w:type="dxa" w:w="1296"/>
            <w:shd w:val="clear" w:color="auto" w:fill="6B1B28"/>
          </w:tcPr>
          <w:p>
            <w:pPr>
              <w:keepNext/>
              <w:spacing w:after="0" w:line="240" w:lineRule="auto"/>
              <w:jc w:val="right"/>
            </w:pPr>
            <w:r>
              <w:rPr>
                <w:b/>
                <w:color w:val="FFFFFF"/>
                <w:sz w:val="19"/>
              </w:rPr>
              <w:t>p-value</w:t>
            </w:r>
          </w:p>
        </w:tc>
        <w:tc>
          <w:tcPr>
            <w:tcW w:type="dxa" w:w="1728"/>
            <w:shd w:val="clear" w:color="auto" w:fill="6B1B28"/>
          </w:tcPr>
          <w:p>
            <w:pPr>
              <w:keepNext/>
              <w:spacing w:after="0" w:line="240" w:lineRule="auto"/>
              <w:jc w:val="right"/>
            </w:pPr>
            <w:r>
              <w:rPr>
                <w:b/>
                <w:color w:val="FFFFFF"/>
                <w:sz w:val="19"/>
              </w:rPr>
              <w:t>Change in units</w:t>
            </w:r>
          </w:p>
        </w:tc>
      </w:tr>
      <w:tr>
        <w:trPr>
          <w:cantSplit w:val="true"/>
        </w:trPr>
        <w:tc>
          <w:tcPr>
            <w:tcW w:type="dxa" w:w="2016"/>
          </w:tcPr>
          <w:p>
            <w:pPr>
              <w:keepNext/>
              <w:spacing w:after="0" w:line="240" w:lineRule="auto"/>
              <w:jc w:val="left"/>
            </w:pPr>
            <w:r>
              <w:rPr>
                <w:b w:val="0"/>
                <w:sz w:val="19"/>
              </w:rPr>
              <w:t>Intercept</w:t>
            </w:r>
          </w:p>
        </w:tc>
        <w:tc>
          <w:tcPr>
            <w:tcW w:type="dxa" w:w="1440"/>
          </w:tcPr>
          <w:p>
            <w:pPr>
              <w:keepNext/>
              <w:spacing w:after="0" w:line="240" w:lineRule="auto"/>
              <w:jc w:val="right"/>
            </w:pPr>
            <w:r>
              <w:rPr>
                <w:b w:val="0"/>
                <w:sz w:val="19"/>
              </w:rPr>
              <w:t>5.687</w:t>
            </w:r>
          </w:p>
        </w:tc>
        <w:tc>
          <w:tcPr>
            <w:tcW w:type="dxa" w:w="1440"/>
          </w:tcPr>
          <w:p>
            <w:pPr>
              <w:keepNext/>
              <w:spacing w:after="0" w:line="240" w:lineRule="auto"/>
              <w:jc w:val="right"/>
            </w:pPr>
            <w:r>
              <w:rPr>
                <w:b w:val="0"/>
                <w:sz w:val="19"/>
              </w:rPr>
              <w:t>0.064</w:t>
            </w:r>
          </w:p>
        </w:tc>
        <w:tc>
          <w:tcPr>
            <w:tcW w:type="dxa" w:w="1296"/>
          </w:tcPr>
          <w:p>
            <w:pPr>
              <w:keepNext/>
              <w:spacing w:after="0" w:line="240" w:lineRule="auto"/>
              <w:jc w:val="right"/>
            </w:pPr>
            <w:r>
              <w:rPr>
                <w:b w:val="0"/>
                <w:sz w:val="19"/>
              </w:rPr>
              <w:t>89.01</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p>
        </w:tc>
      </w:tr>
      <w:tr>
        <w:trPr>
          <w:cantSplit w:val="true"/>
        </w:trPr>
        <w:tc>
          <w:tcPr>
            <w:tcW w:type="dxa" w:w="2016"/>
          </w:tcPr>
          <w:p>
            <w:pPr>
              <w:keepNext/>
              <w:spacing w:after="0" w:line="240" w:lineRule="auto"/>
              <w:jc w:val="left"/>
            </w:pPr>
            <w:r>
              <w:rPr>
                <w:b w:val="0"/>
                <w:sz w:val="19"/>
              </w:rPr>
              <w:t>Price</w:t>
            </w:r>
          </w:p>
        </w:tc>
        <w:tc>
          <w:tcPr>
            <w:tcW w:type="dxa" w:w="1440"/>
          </w:tcPr>
          <w:p>
            <w:pPr>
              <w:keepNext/>
              <w:spacing w:after="0" w:line="240" w:lineRule="auto"/>
              <w:jc w:val="right"/>
            </w:pPr>
            <w:r>
              <w:rPr>
                <w:b w:val="0"/>
                <w:sz w:val="19"/>
              </w:rPr>
              <w:t>−0.121</w:t>
            </w:r>
          </w:p>
        </w:tc>
        <w:tc>
          <w:tcPr>
            <w:tcW w:type="dxa" w:w="1440"/>
          </w:tcPr>
          <w:p>
            <w:pPr>
              <w:keepNext/>
              <w:spacing w:after="0" w:line="240" w:lineRule="auto"/>
              <w:jc w:val="right"/>
            </w:pPr>
            <w:r>
              <w:rPr>
                <w:b w:val="0"/>
                <w:sz w:val="19"/>
              </w:rPr>
              <w:t>0.016</w:t>
            </w:r>
          </w:p>
        </w:tc>
        <w:tc>
          <w:tcPr>
            <w:tcW w:type="dxa" w:w="1296"/>
          </w:tcPr>
          <w:p>
            <w:pPr>
              <w:keepNext/>
              <w:spacing w:after="0" w:line="240" w:lineRule="auto"/>
              <w:jc w:val="right"/>
            </w:pPr>
            <w:r>
              <w:rPr>
                <w:b w:val="0"/>
                <w:sz w:val="19"/>
              </w:rPr>
              <w:t>−7.76</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−11.4%</w:t>
            </w:r>
          </w:p>
        </w:tc>
      </w:tr>
      <w:tr>
        <w:trPr>
          <w:cantSplit w:val="true"/>
        </w:trPr>
        <w:tc>
          <w:tcPr>
            <w:tcW w:type="dxa" w:w="2016"/>
          </w:tcPr>
          <w:p>
            <w:pPr>
              <w:keepNext/>
              <w:spacing w:after="0" w:line="240" w:lineRule="auto"/>
              <w:jc w:val="left"/>
            </w:pPr>
            <w:r>
              <w:rPr>
                <w:b w:val="0"/>
                <w:sz w:val="19"/>
              </w:rPr>
              <w:t>Sales Rep</w:t>
            </w:r>
          </w:p>
        </w:tc>
        <w:tc>
          <w:tcPr>
            <w:tcW w:type="dxa" w:w="1440"/>
          </w:tcPr>
          <w:p>
            <w:pPr>
              <w:keepNext/>
              <w:spacing w:after="0" w:line="240" w:lineRule="auto"/>
              <w:jc w:val="right"/>
            </w:pPr>
            <w:r>
              <w:rPr>
                <w:b w:val="0"/>
                <w:sz w:val="19"/>
              </w:rPr>
              <w:t>0.328</w:t>
            </w:r>
          </w:p>
        </w:tc>
        <w:tc>
          <w:tcPr>
            <w:tcW w:type="dxa" w:w="1440"/>
          </w:tcPr>
          <w:p>
            <w:pPr>
              <w:keepNext/>
              <w:spacing w:after="0" w:line="240" w:lineRule="auto"/>
              <w:jc w:val="right"/>
            </w:pPr>
            <w:r>
              <w:rPr>
                <w:b w:val="0"/>
                <w:sz w:val="19"/>
              </w:rPr>
              <w:t>0.015</w:t>
            </w:r>
          </w:p>
        </w:tc>
        <w:tc>
          <w:tcPr>
            <w:tcW w:type="dxa" w:w="1296"/>
          </w:tcPr>
          <w:p>
            <w:pPr>
              <w:keepNext/>
              <w:spacing w:after="0" w:line="240" w:lineRule="auto"/>
              <w:jc w:val="right"/>
            </w:pPr>
            <w:r>
              <w:rPr>
                <w:b w:val="0"/>
                <w:sz w:val="19"/>
              </w:rPr>
              <w:t>21.48</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+38.8%</w:t>
            </w:r>
          </w:p>
        </w:tc>
      </w:tr>
      <w:tr>
        <w:trPr>
          <w:cantSplit w:val="true"/>
        </w:trPr>
        <w:tc>
          <w:tcPr>
            <w:tcW w:type="dxa" w:w="2016"/>
          </w:tcPr>
          <w:p>
            <w:pPr>
              <w:keepNext/>
              <w:spacing w:after="0" w:line="240" w:lineRule="auto"/>
              <w:jc w:val="left"/>
            </w:pPr>
            <w:r>
              <w:rPr>
                <w:b w:val="0"/>
                <w:sz w:val="19"/>
              </w:rPr>
              <w:t>Endcap</w:t>
            </w:r>
          </w:p>
        </w:tc>
        <w:tc>
          <w:tcPr>
            <w:tcW w:type="dxa" w:w="1440"/>
          </w:tcPr>
          <w:p>
            <w:pPr>
              <w:keepNext/>
              <w:spacing w:after="0" w:line="240" w:lineRule="auto"/>
              <w:jc w:val="right"/>
            </w:pPr>
            <w:r>
              <w:rPr>
                <w:b w:val="0"/>
                <w:sz w:val="19"/>
              </w:rPr>
              <w:t>0.636</w:t>
            </w:r>
          </w:p>
        </w:tc>
        <w:tc>
          <w:tcPr>
            <w:tcW w:type="dxa" w:w="1440"/>
          </w:tcPr>
          <w:p>
            <w:pPr>
              <w:keepNext/>
              <w:spacing w:after="0" w:line="240" w:lineRule="auto"/>
              <w:jc w:val="right"/>
            </w:pPr>
            <w:r>
              <w:rPr>
                <w:b w:val="0"/>
                <w:sz w:val="19"/>
              </w:rPr>
              <w:t>0.036</w:t>
            </w:r>
          </w:p>
        </w:tc>
        <w:tc>
          <w:tcPr>
            <w:tcW w:type="dxa" w:w="1296"/>
          </w:tcPr>
          <w:p>
            <w:pPr>
              <w:keepNext/>
              <w:spacing w:after="0" w:line="240" w:lineRule="auto"/>
              <w:jc w:val="right"/>
            </w:pPr>
            <w:r>
              <w:rPr>
                <w:b w:val="0"/>
                <w:sz w:val="19"/>
              </w:rPr>
              <w:t>17.80</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+89.0%</w:t>
            </w:r>
          </w:p>
        </w:tc>
      </w:tr>
      <w:tr>
        <w:trPr>
          <w:cantSplit w:val="true"/>
        </w:trPr>
        <w:tc>
          <w:tcPr>
            <w:tcW w:type="dxa" w:w="2016"/>
          </w:tcPr>
          <w:p>
            <w:pPr>
              <w:keepNext/>
              <w:spacing w:after="0" w:line="240" w:lineRule="auto"/>
              <w:jc w:val="left"/>
            </w:pPr>
            <w:r>
              <w:rPr>
                <w:b w:val="0"/>
                <w:sz w:val="19"/>
              </w:rPr>
              <w:t>Demo</w:t>
            </w:r>
          </w:p>
        </w:tc>
        <w:tc>
          <w:tcPr>
            <w:tcW w:type="dxa" w:w="1440"/>
          </w:tcPr>
          <w:p>
            <w:pPr>
              <w:keepNext/>
              <w:spacing w:after="0" w:line="240" w:lineRule="auto"/>
              <w:jc w:val="right"/>
            </w:pPr>
            <w:r>
              <w:rPr>
                <w:b w:val="0"/>
                <w:sz w:val="19"/>
              </w:rPr>
              <w:t>0.357</w:t>
            </w:r>
          </w:p>
        </w:tc>
        <w:tc>
          <w:tcPr>
            <w:tcW w:type="dxa" w:w="1440"/>
          </w:tcPr>
          <w:p>
            <w:pPr>
              <w:keepNext/>
              <w:spacing w:after="0" w:line="240" w:lineRule="auto"/>
              <w:jc w:val="right"/>
            </w:pPr>
            <w:r>
              <w:rPr>
                <w:b w:val="0"/>
                <w:sz w:val="19"/>
              </w:rPr>
              <w:t>0.029</w:t>
            </w:r>
          </w:p>
        </w:tc>
        <w:tc>
          <w:tcPr>
            <w:tcW w:type="dxa" w:w="1296"/>
          </w:tcPr>
          <w:p>
            <w:pPr>
              <w:keepNext/>
              <w:spacing w:after="0" w:line="240" w:lineRule="auto"/>
              <w:jc w:val="right"/>
            </w:pPr>
            <w:r>
              <w:rPr>
                <w:b w:val="0"/>
                <w:sz w:val="19"/>
              </w:rPr>
              <w:t>12.20</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+42.8%</w:t>
            </w:r>
          </w:p>
        </w:tc>
      </w:tr>
      <w:tr>
        <w:trPr>
          <w:cantSplit w:val="true"/>
        </w:trPr>
        <w:tc>
          <w:tcPr>
            <w:tcW w:type="dxa" w:w="2016"/>
          </w:tcPr>
          <w:p>
            <w:pPr>
              <w:keepNext/>
              <w:spacing w:after="0" w:line="240" w:lineRule="auto"/>
              <w:jc w:val="left"/>
            </w:pPr>
            <w:r>
              <w:rPr>
                <w:b w:val="0"/>
                <w:sz w:val="19"/>
              </w:rPr>
              <w:t>Demo1-3</w:t>
            </w:r>
          </w:p>
        </w:tc>
        <w:tc>
          <w:tcPr>
            <w:tcW w:type="dxa" w:w="1440"/>
          </w:tcPr>
          <w:p>
            <w:pPr>
              <w:keepNext/>
              <w:spacing w:after="0" w:line="240" w:lineRule="auto"/>
              <w:jc w:val="right"/>
            </w:pPr>
            <w:r>
              <w:rPr>
                <w:b w:val="0"/>
                <w:sz w:val="19"/>
              </w:rPr>
              <w:t>0.266</w:t>
            </w:r>
          </w:p>
        </w:tc>
        <w:tc>
          <w:tcPr>
            <w:tcW w:type="dxa" w:w="1440"/>
          </w:tcPr>
          <w:p>
            <w:pPr>
              <w:keepNext/>
              <w:spacing w:after="0" w:line="240" w:lineRule="auto"/>
              <w:jc w:val="right"/>
            </w:pPr>
            <w:r>
              <w:rPr>
                <w:b w:val="0"/>
                <w:sz w:val="19"/>
              </w:rPr>
              <w:t>0.019</w:t>
            </w:r>
          </w:p>
        </w:tc>
        <w:tc>
          <w:tcPr>
            <w:tcW w:type="dxa" w:w="1296"/>
          </w:tcPr>
          <w:p>
            <w:pPr>
              <w:keepNext/>
              <w:spacing w:after="0" w:line="240" w:lineRule="auto"/>
              <w:jc w:val="right"/>
            </w:pPr>
            <w:r>
              <w:rPr>
                <w:b w:val="0"/>
                <w:sz w:val="19"/>
              </w:rPr>
              <w:t>13.77</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+30.5%</w:t>
            </w:r>
          </w:p>
        </w:tc>
      </w:tr>
      <w:tr>
        <w:trPr>
          <w:cantSplit w:val="true"/>
        </w:trPr>
        <w:tc>
          <w:tcPr>
            <w:tcW w:type="dxa" w:w="2016"/>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0.259</w:t>
            </w:r>
          </w:p>
        </w:tc>
        <w:tc>
          <w:tcPr>
            <w:tcW w:type="dxa" w:w="1440"/>
          </w:tcPr>
          <w:p>
            <w:pPr>
              <w:keepNext/>
              <w:spacing w:after="0" w:line="240" w:lineRule="auto"/>
              <w:jc w:val="right"/>
            </w:pPr>
            <w:r>
              <w:rPr>
                <w:b w:val="0"/>
                <w:sz w:val="19"/>
              </w:rPr>
              <w:t>0.026</w:t>
            </w:r>
          </w:p>
        </w:tc>
        <w:tc>
          <w:tcPr>
            <w:tcW w:type="dxa" w:w="1296"/>
          </w:tcPr>
          <w:p>
            <w:pPr>
              <w:keepNext/>
              <w:spacing w:after="0" w:line="240" w:lineRule="auto"/>
              <w:jc w:val="right"/>
            </w:pPr>
            <w:r>
              <w:rPr>
                <w:b w:val="0"/>
                <w:sz w:val="19"/>
              </w:rPr>
              <w:t>10.03</w:t>
            </w:r>
          </w:p>
        </w:tc>
        <w:tc>
          <w:tcPr>
            <w:tcW w:type="dxa" w:w="1296"/>
          </w:tcPr>
          <w:p>
            <w:pPr>
              <w:keepNext/>
              <w:spacing w:after="0" w:line="240" w:lineRule="auto"/>
              <w:jc w:val="right"/>
            </w:pPr>
            <w:r>
              <w:rPr>
                <w:b w:val="0"/>
                <w:sz w:val="19"/>
              </w:rPr>
              <w:t>&lt;0.001</w:t>
            </w:r>
          </w:p>
        </w:tc>
        <w:tc>
          <w:tcPr>
            <w:tcW w:type="dxa" w:w="1728"/>
          </w:tcPr>
          <w:p>
            <w:pPr>
              <w:keepNext/>
              <w:spacing w:after="0" w:line="240" w:lineRule="auto"/>
              <w:jc w:val="right"/>
            </w:pPr>
            <w:r>
              <w:rPr>
                <w:b w:val="0"/>
                <w:sz w:val="19"/>
              </w:rPr>
              <w:t>+29.6%</w:t>
            </w:r>
          </w:p>
        </w:tc>
      </w:tr>
      <w:tr>
        <w:trPr>
          <w:cantSplit w:val="true"/>
        </w:trPr>
        <w:tc>
          <w:tcPr>
            <w:tcW w:type="dxa" w:w="2016"/>
            <w:shd w:val="clear" w:color="auto" w:fill="FBF1B8"/>
          </w:tcPr>
          <w:p>
            <w:pPr>
              <w:keepNext/>
              <w:spacing w:after="0" w:line="240" w:lineRule="auto"/>
              <w:jc w:val="left"/>
            </w:pPr>
            <w:r>
              <w:rPr>
                <w:b w:val="0"/>
                <w:sz w:val="19"/>
              </w:rPr>
              <w:t>Natural</w:t>
            </w:r>
          </w:p>
        </w:tc>
        <w:tc>
          <w:tcPr>
            <w:tcW w:type="dxa" w:w="1440"/>
            <w:shd w:val="clear" w:color="auto" w:fill="FBF1B8"/>
          </w:tcPr>
          <w:p>
            <w:pPr>
              <w:keepNext/>
              <w:spacing w:after="0" w:line="240" w:lineRule="auto"/>
              <w:jc w:val="right"/>
            </w:pPr>
            <w:r>
              <w:rPr>
                <w:b w:val="0"/>
                <w:sz w:val="19"/>
              </w:rPr>
              <w:t>−0.004</w:t>
            </w:r>
          </w:p>
        </w:tc>
        <w:tc>
          <w:tcPr>
            <w:tcW w:type="dxa" w:w="1440"/>
            <w:shd w:val="clear" w:color="auto" w:fill="FBF1B8"/>
          </w:tcPr>
          <w:p>
            <w:pPr>
              <w:keepNext/>
              <w:spacing w:after="0" w:line="240" w:lineRule="auto"/>
              <w:jc w:val="right"/>
            </w:pPr>
            <w:r>
              <w:rPr>
                <w:b w:val="0"/>
                <w:sz w:val="19"/>
              </w:rPr>
              <w:t>0.007</w:t>
            </w:r>
          </w:p>
        </w:tc>
        <w:tc>
          <w:tcPr>
            <w:tcW w:type="dxa" w:w="1296"/>
            <w:shd w:val="clear" w:color="auto" w:fill="FBF1B8"/>
          </w:tcPr>
          <w:p>
            <w:pPr>
              <w:keepNext/>
              <w:spacing w:after="0" w:line="240" w:lineRule="auto"/>
              <w:jc w:val="right"/>
            </w:pPr>
            <w:r>
              <w:rPr>
                <w:b w:val="0"/>
                <w:sz w:val="19"/>
              </w:rPr>
              <w:t>−0.61</w:t>
            </w:r>
          </w:p>
        </w:tc>
        <w:tc>
          <w:tcPr>
            <w:tcW w:type="dxa" w:w="1296"/>
            <w:shd w:val="clear" w:color="auto" w:fill="FBF1B8"/>
          </w:tcPr>
          <w:p>
            <w:pPr>
              <w:keepNext/>
              <w:spacing w:after="0" w:line="240" w:lineRule="auto"/>
              <w:jc w:val="right"/>
            </w:pPr>
            <w:r>
              <w:rPr>
                <w:b w:val="0"/>
                <w:sz w:val="19"/>
              </w:rPr>
              <w:t>0.542</w:t>
            </w:r>
          </w:p>
        </w:tc>
        <w:tc>
          <w:tcPr>
            <w:tcW w:type="dxa" w:w="1728"/>
            <w:shd w:val="clear" w:color="auto" w:fill="FBF1B8"/>
          </w:tcPr>
          <w:p>
            <w:pPr>
              <w:keepNext/>
              <w:spacing w:after="0" w:line="240" w:lineRule="auto"/>
              <w:jc w:val="right"/>
            </w:pPr>
            <w:r>
              <w:rPr>
                <w:b w:val="0"/>
                <w:sz w:val="19"/>
              </w:rPr>
              <w:t>−0.4%</w:t>
            </w:r>
          </w:p>
        </w:tc>
      </w:tr>
      <w:tr>
        <w:trPr>
          <w:cantSplit w:val="true"/>
        </w:trPr>
        <w:tc>
          <w:tcPr>
            <w:tcW w:type="dxa" w:w="2016"/>
            <w:shd w:val="clear" w:color="auto" w:fill="FBF1B8"/>
          </w:tcPr>
          <w:p>
            <w:pPr>
              <w:spacing w:after="0" w:line="240" w:lineRule="auto"/>
              <w:jc w:val="left"/>
            </w:pPr>
            <w:r>
              <w:rPr>
                <w:b w:val="0"/>
                <w:sz w:val="19"/>
              </w:rPr>
              <w:t>Fitness</w:t>
            </w:r>
          </w:p>
        </w:tc>
        <w:tc>
          <w:tcPr>
            <w:tcW w:type="dxa" w:w="1440"/>
            <w:shd w:val="clear" w:color="auto" w:fill="FBF1B8"/>
          </w:tcPr>
          <w:p>
            <w:pPr>
              <w:spacing w:after="0" w:line="240" w:lineRule="auto"/>
              <w:jc w:val="right"/>
            </w:pPr>
            <w:r>
              <w:rPr>
                <w:b w:val="0"/>
                <w:sz w:val="19"/>
              </w:rPr>
              <w:t>−0.003</w:t>
            </w:r>
          </w:p>
        </w:tc>
        <w:tc>
          <w:tcPr>
            <w:tcW w:type="dxa" w:w="1440"/>
            <w:shd w:val="clear" w:color="auto" w:fill="FBF1B8"/>
          </w:tcPr>
          <w:p>
            <w:pPr>
              <w:spacing w:after="0" w:line="240" w:lineRule="auto"/>
              <w:jc w:val="right"/>
            </w:pPr>
            <w:r>
              <w:rPr>
                <w:b w:val="0"/>
                <w:sz w:val="19"/>
              </w:rPr>
              <w:t>0.004</w:t>
            </w:r>
          </w:p>
        </w:tc>
        <w:tc>
          <w:tcPr>
            <w:tcW w:type="dxa" w:w="1296"/>
            <w:shd w:val="clear" w:color="auto" w:fill="FBF1B8"/>
          </w:tcPr>
          <w:p>
            <w:pPr>
              <w:spacing w:after="0" w:line="240" w:lineRule="auto"/>
              <w:jc w:val="right"/>
            </w:pPr>
            <w:r>
              <w:rPr>
                <w:b w:val="0"/>
                <w:sz w:val="19"/>
              </w:rPr>
              <w:t>−0.77</w:t>
            </w:r>
          </w:p>
        </w:tc>
        <w:tc>
          <w:tcPr>
            <w:tcW w:type="dxa" w:w="1296"/>
            <w:shd w:val="clear" w:color="auto" w:fill="FBF1B8"/>
          </w:tcPr>
          <w:p>
            <w:pPr>
              <w:spacing w:after="0" w:line="240" w:lineRule="auto"/>
              <w:jc w:val="right"/>
            </w:pPr>
            <w:r>
              <w:rPr>
                <w:b w:val="0"/>
                <w:sz w:val="19"/>
              </w:rPr>
              <w:t>0.440</w:t>
            </w:r>
          </w:p>
        </w:tc>
        <w:tc>
          <w:tcPr>
            <w:tcW w:type="dxa" w:w="1728"/>
            <w:shd w:val="clear" w:color="auto" w:fill="FBF1B8"/>
          </w:tcPr>
          <w:p>
            <w:pPr>
              <w:spacing w:after="0" w:line="240" w:lineRule="auto"/>
              <w:jc w:val="right"/>
            </w:pPr>
            <w:r>
              <w:rPr>
                <w:b w:val="0"/>
                <w:sz w:val="19"/>
              </w:rPr>
              <w:t>−0.3%</w:t>
            </w:r>
          </w:p>
        </w:tc>
      </w:tr>
    </w:tbl>
    <w:p>
      <w:pPr>
        <w:spacing w:after="40" w:line="120" w:lineRule="auto"/>
      </w:pPr>
    </w:p>
    <w:p>
      <w:r>
        <w:rPr>
          <w:b w:val="0"/>
        </w:rPr>
        <w:t>The signs and the pattern of significance are the same as in Model 1, with Natural and Fitness again not significant. Model 2 explains 56.2% of the variation in ln Units (adjusted R² = 0.560). That figure cannot be compared directly with Model 1, because the dependent variable has changed, but it certainly is not an improvement. The model puts the endcap effect at +89% and the demo week at +43%. Before accepting it, we test its assumptions.</w:t>
      </w:r>
    </w:p>
    <w:p>
      <w:pPr>
        <w:pStyle w:val="Heading1"/>
        <w:pBdr>
          <w:bottom w:val="single" w:sz="6" w:space="2" w:color="7A1E2E"/>
        </w:pBdr>
      </w:pPr>
      <w:r>
        <w:t>5. Checking the Assumptions for Model 2</w:t>
      </w:r>
    </w:p>
    <w:p>
      <w:pPr>
        <w:keepNext/>
        <w:spacing w:after="20"/>
        <w:jc w:val="center"/>
      </w:pPr>
      <w:r>
        <w:drawing>
          <wp:inline xmlns:a="http://schemas.openxmlformats.org/drawingml/2006/main" xmlns:pic="http://schemas.openxmlformats.org/drawingml/2006/picture">
            <wp:extent cx="5120640" cy="3950208"/>
            <wp:docPr id="3" name="Picture 3"/>
            <wp:cNvGraphicFramePr>
              <a:graphicFrameLocks noChangeAspect="1"/>
            </wp:cNvGraphicFramePr>
            <a:graphic>
              <a:graphicData uri="http://schemas.openxmlformats.org/drawingml/2006/picture">
                <pic:pic>
                  <pic:nvPicPr>
                    <pic:cNvPr id="0" name="diag_log.png"/>
                    <pic:cNvPicPr/>
                  </pic:nvPicPr>
                  <pic:blipFill>
                    <a:blip r:embed="rId12"/>
                    <a:stretch>
                      <a:fillRect/>
                    </a:stretch>
                  </pic:blipFill>
                  <pic:spPr>
                    <a:xfrm>
                      <a:off x="0" y="0"/>
                      <a:ext cx="5120640" cy="3950208"/>
                    </a:xfrm>
                    <a:prstGeom prst="rect"/>
                  </pic:spPr>
                </pic:pic>
              </a:graphicData>
            </a:graphic>
          </wp:inline>
        </w:drawing>
      </w:r>
    </w:p>
    <w:p>
      <w:pPr>
        <w:spacing w:after="160"/>
        <w:jc w:val="center"/>
      </w:pPr>
      <w:r>
        <w:rPr>
          <w:b/>
          <w:color w:val="333333"/>
          <w:sz w:val="20"/>
        </w:rPr>
        <w:t>Figure 5.1: Residual diagnostics for Model 2</w:t>
      </w:r>
    </w:p>
    <w:p>
      <w:r>
        <w:rPr>
          <w:b w:val="0"/>
        </w:rPr>
        <w:t>The log transformation changes some statistics but not the picture. The Durbin-Watson statistic rises to 1.92 and the kurtosis falls from 8.5 to 5.4. However, the residuals are still clearly left-skewed (−0.92), the lower tail of the Q-Q plot still bends away from the line (down to −5.1 standard deviations), 17 residuals lie beyond ±3, and the residual plot shows the same detached group of points. The reason is in the last two rows of Table 5.1. The 17 endcap weeks without a rep are still over-predicted (the stores sold about 44% fewer units than the model expects), while the 36 endcap weeks with a rep are under-predicted.</w:t>
      </w:r>
    </w:p>
    <w:p>
      <w:pPr>
        <w:keepNext/>
        <w:spacing w:before="120" w:after="60"/>
        <w:jc w:val="left"/>
      </w:pPr>
      <w:r>
        <w:rPr>
          <w:b/>
          <w:color w:val="333333"/>
          <w:sz w:val="20"/>
        </w:rPr>
        <w:t>Table 5.1: Model 1 and Model 2 compared</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320"/>
        <w:gridCol w:w="1440"/>
        <w:gridCol w:w="2016"/>
        <w:gridCol w:w="1440"/>
      </w:tblGrid>
      <w:tr>
        <w:trPr>
          <w:tblHeader w:val="true"/>
          <w:cantSplit w:val="true"/>
        </w:trPr>
        <w:tc>
          <w:tcPr>
            <w:tcW w:type="dxa" w:w="4320"/>
            <w:shd w:val="clear" w:color="auto" w:fill="6B1B28"/>
          </w:tcPr>
          <w:p>
            <w:pPr>
              <w:keepNext/>
              <w:spacing w:after="0" w:line="240" w:lineRule="auto"/>
              <w:jc w:val="left"/>
            </w:pPr>
            <w:r>
              <w:rPr>
                <w:b/>
                <w:color w:val="FFFFFF"/>
                <w:sz w:val="19"/>
              </w:rPr>
              <w:t>Check</w:t>
            </w:r>
          </w:p>
        </w:tc>
        <w:tc>
          <w:tcPr>
            <w:tcW w:type="dxa" w:w="1440"/>
            <w:shd w:val="clear" w:color="auto" w:fill="6B1B28"/>
          </w:tcPr>
          <w:p>
            <w:pPr>
              <w:keepNext/>
              <w:spacing w:after="0" w:line="240" w:lineRule="auto"/>
              <w:jc w:val="right"/>
            </w:pPr>
            <w:r>
              <w:rPr>
                <w:b/>
                <w:color w:val="FFFFFF"/>
                <w:sz w:val="19"/>
              </w:rPr>
              <w:t>Model 1</w:t>
            </w:r>
          </w:p>
        </w:tc>
        <w:tc>
          <w:tcPr>
            <w:tcW w:type="dxa" w:w="2016"/>
            <w:shd w:val="clear" w:color="auto" w:fill="6B1B28"/>
          </w:tcPr>
          <w:p>
            <w:pPr>
              <w:keepNext/>
              <w:spacing w:after="0" w:line="240" w:lineRule="auto"/>
              <w:jc w:val="right"/>
            </w:pPr>
            <w:r>
              <w:rPr>
                <w:b/>
                <w:color w:val="FFFFFF"/>
                <w:sz w:val="19"/>
              </w:rPr>
              <w:t>Model 2 (log)</w:t>
            </w:r>
          </w:p>
        </w:tc>
        <w:tc>
          <w:tcPr>
            <w:tcW w:type="dxa" w:w="1440"/>
            <w:shd w:val="clear" w:color="auto" w:fill="6B1B28"/>
          </w:tcPr>
          <w:p>
            <w:pPr>
              <w:keepNext/>
              <w:spacing w:after="0" w:line="240" w:lineRule="auto"/>
              <w:jc w:val="right"/>
            </w:pPr>
            <w:r>
              <w:rPr>
                <w:b/>
                <w:color w:val="FFFFFF"/>
                <w:sz w:val="19"/>
              </w:rPr>
              <w:t>Target</w:t>
            </w:r>
          </w:p>
        </w:tc>
      </w:tr>
      <w:tr>
        <w:trPr>
          <w:cantSplit w:val="true"/>
        </w:trPr>
        <w:tc>
          <w:tcPr>
            <w:tcW w:type="dxa" w:w="4320"/>
          </w:tcPr>
          <w:p>
            <w:pPr>
              <w:keepNext/>
              <w:spacing w:after="0" w:line="240" w:lineRule="auto"/>
              <w:jc w:val="left"/>
            </w:pPr>
            <w:r>
              <w:rPr>
                <w:b w:val="0"/>
                <w:sz w:val="19"/>
              </w:rPr>
              <w:t>Durbin-Watson</w:t>
            </w:r>
          </w:p>
        </w:tc>
        <w:tc>
          <w:tcPr>
            <w:tcW w:type="dxa" w:w="1440"/>
          </w:tcPr>
          <w:p>
            <w:pPr>
              <w:keepNext/>
              <w:spacing w:after="0" w:line="240" w:lineRule="auto"/>
              <w:jc w:val="right"/>
            </w:pPr>
            <w:r>
              <w:rPr>
                <w:b w:val="0"/>
                <w:sz w:val="19"/>
              </w:rPr>
              <w:t>1.39</w:t>
            </w:r>
          </w:p>
        </w:tc>
        <w:tc>
          <w:tcPr>
            <w:tcW w:type="dxa" w:w="2016"/>
          </w:tcPr>
          <w:p>
            <w:pPr>
              <w:keepNext/>
              <w:spacing w:after="0" w:line="240" w:lineRule="auto"/>
              <w:jc w:val="right"/>
            </w:pPr>
            <w:r>
              <w:rPr>
                <w:b w:val="0"/>
                <w:sz w:val="19"/>
              </w:rPr>
              <w:t>1.92</w:t>
            </w:r>
          </w:p>
        </w:tc>
        <w:tc>
          <w:tcPr>
            <w:tcW w:type="dxa" w:w="1440"/>
          </w:tcPr>
          <w:p>
            <w:pPr>
              <w:keepNext/>
              <w:spacing w:after="0" w:line="240" w:lineRule="auto"/>
              <w:jc w:val="right"/>
            </w:pPr>
            <w:r>
              <w:rPr>
                <w:b w:val="0"/>
                <w:sz w:val="19"/>
              </w:rPr>
              <w:t>about 2</w:t>
            </w:r>
          </w:p>
        </w:tc>
      </w:tr>
      <w:tr>
        <w:trPr>
          <w:cantSplit w:val="true"/>
        </w:trPr>
        <w:tc>
          <w:tcPr>
            <w:tcW w:type="dxa" w:w="4320"/>
            <w:shd w:val="clear" w:color="auto" w:fill="F5F2EF"/>
          </w:tcPr>
          <w:p>
            <w:pPr>
              <w:keepNext/>
              <w:spacing w:after="0" w:line="240" w:lineRule="auto"/>
              <w:jc w:val="left"/>
            </w:pPr>
            <w:r>
              <w:rPr>
                <w:b w:val="0"/>
                <w:sz w:val="19"/>
              </w:rPr>
              <w:t>Skewness of residuals</w:t>
            </w:r>
          </w:p>
        </w:tc>
        <w:tc>
          <w:tcPr>
            <w:tcW w:type="dxa" w:w="1440"/>
            <w:shd w:val="clear" w:color="auto" w:fill="F5F2EF"/>
          </w:tcPr>
          <w:p>
            <w:pPr>
              <w:keepNext/>
              <w:spacing w:after="0" w:line="240" w:lineRule="auto"/>
              <w:jc w:val="right"/>
            </w:pPr>
            <w:r>
              <w:rPr>
                <w:b w:val="0"/>
                <w:sz w:val="19"/>
              </w:rPr>
              <w:t>−0.93</w:t>
            </w:r>
          </w:p>
        </w:tc>
        <w:tc>
          <w:tcPr>
            <w:tcW w:type="dxa" w:w="2016"/>
            <w:shd w:val="clear" w:color="auto" w:fill="F5F2EF"/>
          </w:tcPr>
          <w:p>
            <w:pPr>
              <w:keepNext/>
              <w:spacing w:after="0" w:line="240" w:lineRule="auto"/>
              <w:jc w:val="right"/>
            </w:pPr>
            <w:r>
              <w:rPr>
                <w:b w:val="0"/>
                <w:sz w:val="19"/>
              </w:rPr>
              <w:t>−0.92</w:t>
            </w:r>
          </w:p>
        </w:tc>
        <w:tc>
          <w:tcPr>
            <w:tcW w:type="dxa" w:w="1440"/>
            <w:shd w:val="clear" w:color="auto" w:fill="F5F2EF"/>
          </w:tcPr>
          <w:p>
            <w:pPr>
              <w:keepNext/>
              <w:spacing w:after="0" w:line="240" w:lineRule="auto"/>
              <w:jc w:val="right"/>
            </w:pPr>
            <w:r>
              <w:rPr>
                <w:b w:val="0"/>
                <w:sz w:val="19"/>
              </w:rPr>
              <w:t>about 0</w:t>
            </w:r>
          </w:p>
        </w:tc>
      </w:tr>
      <w:tr>
        <w:trPr>
          <w:cantSplit w:val="true"/>
        </w:trPr>
        <w:tc>
          <w:tcPr>
            <w:tcW w:type="dxa" w:w="4320"/>
          </w:tcPr>
          <w:p>
            <w:pPr>
              <w:keepNext/>
              <w:spacing w:after="0" w:line="240" w:lineRule="auto"/>
              <w:jc w:val="left"/>
            </w:pPr>
            <w:r>
              <w:rPr>
                <w:b w:val="0"/>
                <w:sz w:val="19"/>
              </w:rPr>
              <w:t>Kurtosis of residuals</w:t>
            </w:r>
          </w:p>
        </w:tc>
        <w:tc>
          <w:tcPr>
            <w:tcW w:type="dxa" w:w="1440"/>
          </w:tcPr>
          <w:p>
            <w:pPr>
              <w:keepNext/>
              <w:spacing w:after="0" w:line="240" w:lineRule="auto"/>
              <w:jc w:val="right"/>
            </w:pPr>
            <w:r>
              <w:rPr>
                <w:b w:val="0"/>
                <w:sz w:val="19"/>
              </w:rPr>
              <w:t>8.45</w:t>
            </w:r>
          </w:p>
        </w:tc>
        <w:tc>
          <w:tcPr>
            <w:tcW w:type="dxa" w:w="2016"/>
          </w:tcPr>
          <w:p>
            <w:pPr>
              <w:keepNext/>
              <w:spacing w:after="0" w:line="240" w:lineRule="auto"/>
              <w:jc w:val="right"/>
            </w:pPr>
            <w:r>
              <w:rPr>
                <w:b w:val="0"/>
                <w:sz w:val="19"/>
              </w:rPr>
              <w:t>5.41</w:t>
            </w:r>
          </w:p>
        </w:tc>
        <w:tc>
          <w:tcPr>
            <w:tcW w:type="dxa" w:w="1440"/>
          </w:tcPr>
          <w:p>
            <w:pPr>
              <w:keepNext/>
              <w:spacing w:after="0" w:line="240" w:lineRule="auto"/>
              <w:jc w:val="right"/>
            </w:pPr>
            <w:r>
              <w:rPr>
                <w:b w:val="0"/>
                <w:sz w:val="19"/>
              </w:rPr>
              <w:t>about 3</w:t>
            </w:r>
          </w:p>
        </w:tc>
      </w:tr>
      <w:tr>
        <w:trPr>
          <w:cantSplit w:val="true"/>
        </w:trPr>
        <w:tc>
          <w:tcPr>
            <w:tcW w:type="dxa" w:w="4320"/>
            <w:shd w:val="clear" w:color="auto" w:fill="F5F2EF"/>
          </w:tcPr>
          <w:p>
            <w:pPr>
              <w:keepNext/>
              <w:spacing w:after="0" w:line="240" w:lineRule="auto"/>
              <w:jc w:val="left"/>
            </w:pPr>
            <w:r>
              <w:rPr>
                <w:b w:val="0"/>
                <w:sz w:val="19"/>
              </w:rPr>
              <w:t>Residuals beyond ±3 SD</w:t>
            </w:r>
          </w:p>
        </w:tc>
        <w:tc>
          <w:tcPr>
            <w:tcW w:type="dxa" w:w="1440"/>
            <w:shd w:val="clear" w:color="auto" w:fill="F5F2EF"/>
          </w:tcPr>
          <w:p>
            <w:pPr>
              <w:keepNext/>
              <w:spacing w:after="0" w:line="240" w:lineRule="auto"/>
              <w:jc w:val="right"/>
            </w:pPr>
            <w:r>
              <w:rPr>
                <w:b w:val="0"/>
                <w:sz w:val="19"/>
              </w:rPr>
              <w:t>23</w:t>
            </w:r>
          </w:p>
        </w:tc>
        <w:tc>
          <w:tcPr>
            <w:tcW w:type="dxa" w:w="2016"/>
            <w:shd w:val="clear" w:color="auto" w:fill="F5F2EF"/>
          </w:tcPr>
          <w:p>
            <w:pPr>
              <w:keepNext/>
              <w:spacing w:after="0" w:line="240" w:lineRule="auto"/>
              <w:jc w:val="right"/>
            </w:pPr>
            <w:r>
              <w:rPr>
                <w:b w:val="0"/>
                <w:sz w:val="19"/>
              </w:rPr>
              <w:t>17</w:t>
            </w:r>
          </w:p>
        </w:tc>
        <w:tc>
          <w:tcPr>
            <w:tcW w:type="dxa" w:w="1440"/>
            <w:shd w:val="clear" w:color="auto" w:fill="F5F2EF"/>
          </w:tcPr>
          <w:p>
            <w:pPr>
              <w:keepNext/>
              <w:spacing w:after="0" w:line="240" w:lineRule="auto"/>
              <w:jc w:val="right"/>
            </w:pPr>
            <w:r>
              <w:rPr>
                <w:b w:val="0"/>
                <w:sz w:val="19"/>
              </w:rPr>
              <w:t>few</w:t>
            </w:r>
          </w:p>
        </w:tc>
      </w:tr>
      <w:tr>
        <w:trPr>
          <w:cantSplit w:val="true"/>
        </w:trPr>
        <w:tc>
          <w:tcPr>
            <w:tcW w:type="dxa" w:w="4320"/>
          </w:tcPr>
          <w:p>
            <w:pPr>
              <w:keepNext/>
              <w:spacing w:after="0" w:line="240" w:lineRule="auto"/>
              <w:jc w:val="left"/>
            </w:pPr>
            <w:r>
              <w:rPr>
                <w:b w:val="0"/>
                <w:sz w:val="19"/>
              </w:rPr>
              <w:t>Mean residual, endcap without rep (17 weeks)</w:t>
            </w:r>
          </w:p>
        </w:tc>
        <w:tc>
          <w:tcPr>
            <w:tcW w:type="dxa" w:w="1440"/>
          </w:tcPr>
          <w:p>
            <w:pPr>
              <w:keepNext/>
              <w:spacing w:after="0" w:line="240" w:lineRule="auto"/>
              <w:jc w:val="right"/>
            </w:pPr>
            <w:r>
              <w:rPr>
                <w:b w:val="0"/>
                <w:sz w:val="19"/>
              </w:rPr>
              <w:t>−295 units</w:t>
            </w:r>
          </w:p>
        </w:tc>
        <w:tc>
          <w:tcPr>
            <w:tcW w:type="dxa" w:w="2016"/>
          </w:tcPr>
          <w:p>
            <w:pPr>
              <w:keepNext/>
              <w:spacing w:after="0" w:line="240" w:lineRule="auto"/>
              <w:jc w:val="right"/>
            </w:pPr>
            <w:r>
              <w:rPr>
                <w:b w:val="0"/>
                <w:sz w:val="19"/>
              </w:rPr>
              <w:t>−0.58 (log units)</w:t>
            </w:r>
          </w:p>
        </w:tc>
        <w:tc>
          <w:tcPr>
            <w:tcW w:type="dxa" w:w="1440"/>
          </w:tcPr>
          <w:p>
            <w:pPr>
              <w:keepNext/>
              <w:spacing w:after="0" w:line="240" w:lineRule="auto"/>
              <w:jc w:val="right"/>
            </w:pPr>
            <w:r>
              <w:rPr>
                <w:b w:val="0"/>
                <w:sz w:val="19"/>
              </w:rPr>
              <w:t>about 0</w:t>
            </w:r>
          </w:p>
        </w:tc>
      </w:tr>
      <w:tr>
        <w:trPr>
          <w:cantSplit w:val="true"/>
        </w:trPr>
        <w:tc>
          <w:tcPr>
            <w:tcW w:type="dxa" w:w="4320"/>
            <w:shd w:val="clear" w:color="auto" w:fill="F5F2EF"/>
          </w:tcPr>
          <w:p>
            <w:pPr>
              <w:spacing w:after="0" w:line="240" w:lineRule="auto"/>
              <w:jc w:val="left"/>
            </w:pPr>
            <w:r>
              <w:rPr>
                <w:b w:val="0"/>
                <w:sz w:val="19"/>
              </w:rPr>
              <w:t>Mean residual, endcap with rep (36 weeks)</w:t>
            </w:r>
          </w:p>
        </w:tc>
        <w:tc>
          <w:tcPr>
            <w:tcW w:type="dxa" w:w="1440"/>
            <w:shd w:val="clear" w:color="auto" w:fill="F5F2EF"/>
          </w:tcPr>
          <w:p>
            <w:pPr>
              <w:spacing w:after="0" w:line="240" w:lineRule="auto"/>
              <w:jc w:val="right"/>
            </w:pPr>
            <w:r>
              <w:rPr>
                <w:b w:val="0"/>
                <w:sz w:val="19"/>
              </w:rPr>
              <w:t>+139 units</w:t>
            </w:r>
          </w:p>
        </w:tc>
        <w:tc>
          <w:tcPr>
            <w:tcW w:type="dxa" w:w="2016"/>
            <w:shd w:val="clear" w:color="auto" w:fill="F5F2EF"/>
          </w:tcPr>
          <w:p>
            <w:pPr>
              <w:spacing w:after="0" w:line="240" w:lineRule="auto"/>
              <w:jc w:val="right"/>
            </w:pPr>
            <w:r>
              <w:rPr>
                <w:b w:val="0"/>
                <w:sz w:val="19"/>
              </w:rPr>
              <w:t>+0.28 (log units)</w:t>
            </w:r>
          </w:p>
        </w:tc>
        <w:tc>
          <w:tcPr>
            <w:tcW w:type="dxa" w:w="1440"/>
            <w:shd w:val="clear" w:color="auto" w:fill="F5F2EF"/>
          </w:tcPr>
          <w:p>
            <w:pPr>
              <w:spacing w:after="0" w:line="240" w:lineRule="auto"/>
              <w:jc w:val="right"/>
            </w:pPr>
            <w:r>
              <w:rPr>
                <w:b w:val="0"/>
                <w:sz w:val="19"/>
              </w:rPr>
              <w:t>about 0</w:t>
            </w:r>
          </w:p>
        </w:tc>
      </w:tr>
    </w:tbl>
    <w:p>
      <w:pPr>
        <w:spacing w:after="40" w:line="120" w:lineRule="auto"/>
      </w:pPr>
    </w:p>
    <w:p>
      <w:r>
        <w:rPr>
          <w:b w:val="0"/>
        </w:rPr>
        <w:t>A change of scale cannot repair a problem that is structural. Both models assume that an endcap is worth the same in every store, and the residuals say it is not. The log transformation was therefore the wrong remedy, and we turn to the likelier cause, a missing interaction between the endcap and something else about the store.</w:t>
      </w:r>
    </w:p>
    <w:p>
      <w:pPr>
        <w:pStyle w:val="Heading1"/>
        <w:pBdr>
          <w:bottom w:val="single" w:sz="6" w:space="2" w:color="7A1E2E"/>
        </w:pBdr>
      </w:pPr>
      <w:r>
        <w:t>6. Searching for Interaction Terms</w:t>
      </w:r>
    </w:p>
    <w:p>
      <w:r>
        <w:rPr>
          <w:b w:val="0"/>
        </w:rPr>
        <w:t>An interaction term is the product of two variables. It lets the effect of one variable depend on the level of the other. With eight variables there are 28 possible pairwise products. Putting all of them in would invite chance findings and include many pairs with no sensible meaning, so we chose 16 on business grounds and left out 12.</w:t>
      </w:r>
    </w:p>
    <w:p>
      <w:pPr>
        <w:pStyle w:val="Heading2"/>
      </w:pPr>
      <w:r>
        <w:t>6.1 The 16 candidate interactions</w:t>
      </w:r>
    </w:p>
    <w:p>
      <w:pPr>
        <w:keepNext/>
        <w:spacing w:before="120" w:after="60"/>
        <w:jc w:val="left"/>
      </w:pPr>
      <w:r>
        <w:rPr>
          <w:b/>
          <w:color w:val="333333"/>
          <w:sz w:val="20"/>
        </w:rPr>
        <w:t>Table 6.1: Interaction candidates and the reason for each group</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232"/>
        <w:gridCol w:w="3384"/>
        <w:gridCol w:w="3600"/>
      </w:tblGrid>
      <w:tr>
        <w:trPr>
          <w:tblHeader w:val="true"/>
          <w:cantSplit w:val="true"/>
        </w:trPr>
        <w:tc>
          <w:tcPr>
            <w:tcW w:type="dxa" w:w="2232"/>
            <w:shd w:val="clear" w:color="auto" w:fill="6B1B28"/>
          </w:tcPr>
          <w:p>
            <w:pPr>
              <w:keepNext/>
              <w:spacing w:after="0" w:line="240" w:lineRule="auto"/>
              <w:jc w:val="left"/>
            </w:pPr>
            <w:r>
              <w:rPr>
                <w:b/>
                <w:color w:val="FFFFFF"/>
                <w:sz w:val="18"/>
              </w:rPr>
              <w:t>Group</w:t>
            </w:r>
          </w:p>
        </w:tc>
        <w:tc>
          <w:tcPr>
            <w:tcW w:type="dxa" w:w="3384"/>
            <w:shd w:val="clear" w:color="auto" w:fill="6B1B28"/>
          </w:tcPr>
          <w:p>
            <w:pPr>
              <w:keepNext/>
              <w:spacing w:after="0" w:line="240" w:lineRule="auto"/>
              <w:jc w:val="left"/>
            </w:pPr>
            <w:r>
              <w:rPr>
                <w:b/>
                <w:color w:val="FFFFFF"/>
                <w:sz w:val="18"/>
              </w:rPr>
              <w:t>Interactions</w:t>
            </w:r>
          </w:p>
        </w:tc>
        <w:tc>
          <w:tcPr>
            <w:tcW w:type="dxa" w:w="3600"/>
            <w:shd w:val="clear" w:color="auto" w:fill="6B1B28"/>
          </w:tcPr>
          <w:p>
            <w:pPr>
              <w:keepNext/>
              <w:spacing w:after="0" w:line="240" w:lineRule="auto"/>
              <w:jc w:val="left"/>
            </w:pPr>
            <w:r>
              <w:rPr>
                <w:b/>
                <w:color w:val="FFFFFF"/>
                <w:sz w:val="18"/>
              </w:rPr>
              <w:t>Question asked</w:t>
            </w:r>
          </w:p>
        </w:tc>
      </w:tr>
      <w:tr>
        <w:trPr>
          <w:cantSplit w:val="true"/>
        </w:trPr>
        <w:tc>
          <w:tcPr>
            <w:tcW w:type="dxa" w:w="2232"/>
          </w:tcPr>
          <w:p>
            <w:pPr>
              <w:keepNext/>
              <w:spacing w:after="0" w:line="240" w:lineRule="auto"/>
              <w:jc w:val="left"/>
            </w:pPr>
            <w:r>
              <w:rPr>
                <w:b w:val="0"/>
                <w:sz w:val="18"/>
              </w:rPr>
              <w:t>A. Sales Rep with promotions (4)</w:t>
            </w:r>
          </w:p>
        </w:tc>
        <w:tc>
          <w:tcPr>
            <w:tcW w:type="dxa" w:w="3384"/>
          </w:tcPr>
          <w:p>
            <w:pPr>
              <w:keepNext/>
              <w:spacing w:after="0" w:line="240" w:lineRule="auto"/>
              <w:jc w:val="left"/>
            </w:pPr>
            <w:r>
              <w:rPr>
                <w:b w:val="0"/>
                <w:sz w:val="18"/>
              </w:rPr>
              <w:t>Endcap × Sales Rep, Demo × Sales Rep, Demo1-3 × Sales Rep, Demo4-5 × Sales Rep</w:t>
            </w:r>
          </w:p>
        </w:tc>
        <w:tc>
          <w:tcPr>
            <w:tcW w:type="dxa" w:w="3600"/>
          </w:tcPr>
          <w:p>
            <w:pPr>
              <w:keepNext/>
              <w:spacing w:after="0" w:line="240" w:lineRule="auto"/>
              <w:jc w:val="left"/>
            </w:pPr>
            <w:r>
              <w:rPr>
                <w:b w:val="0"/>
                <w:sz w:val="18"/>
              </w:rPr>
              <w:t>Does face-to-face contact make the other promotions work better? Reps set up demos and win endcap space; the case describes the rep endcap competition.</w:t>
            </w:r>
          </w:p>
        </w:tc>
      </w:tr>
      <w:tr>
        <w:trPr>
          <w:cantSplit w:val="true"/>
        </w:trPr>
        <w:tc>
          <w:tcPr>
            <w:tcW w:type="dxa" w:w="2232"/>
            <w:shd w:val="clear" w:color="auto" w:fill="F5F2EF"/>
          </w:tcPr>
          <w:p>
            <w:pPr>
              <w:keepNext/>
              <w:spacing w:after="0" w:line="240" w:lineRule="auto"/>
              <w:jc w:val="left"/>
            </w:pPr>
            <w:r>
              <w:rPr>
                <w:b w:val="0"/>
                <w:sz w:val="18"/>
              </w:rPr>
              <w:t>B. Endcap with demos (3)</w:t>
            </w:r>
          </w:p>
        </w:tc>
        <w:tc>
          <w:tcPr>
            <w:tcW w:type="dxa" w:w="3384"/>
            <w:shd w:val="clear" w:color="auto" w:fill="F5F2EF"/>
          </w:tcPr>
          <w:p>
            <w:pPr>
              <w:keepNext/>
              <w:spacing w:after="0" w:line="240" w:lineRule="auto"/>
              <w:jc w:val="left"/>
            </w:pPr>
            <w:r>
              <w:rPr>
                <w:b w:val="0"/>
                <w:sz w:val="18"/>
              </w:rPr>
              <w:t>Endcap × Demo, Endcap × Demo1-3, Endcap × Demo4-5</w:t>
            </w:r>
          </w:p>
        </w:tc>
        <w:tc>
          <w:tcPr>
            <w:tcW w:type="dxa" w:w="3600"/>
            <w:shd w:val="clear" w:color="auto" w:fill="F5F2EF"/>
          </w:tcPr>
          <w:p>
            <w:pPr>
              <w:keepNext/>
              <w:spacing w:after="0" w:line="240" w:lineRule="auto"/>
              <w:jc w:val="left"/>
            </w:pPr>
            <w:r>
              <w:rPr>
                <w:b w:val="0"/>
                <w:sz w:val="18"/>
              </w:rPr>
              <w:t>Do an end-of-aisle display and in-store sampling reinforce each other?</w:t>
            </w:r>
          </w:p>
        </w:tc>
      </w:tr>
      <w:tr>
        <w:trPr>
          <w:cantSplit w:val="true"/>
        </w:trPr>
        <w:tc>
          <w:tcPr>
            <w:tcW w:type="dxa" w:w="2232"/>
          </w:tcPr>
          <w:p>
            <w:pPr>
              <w:keepNext/>
              <w:spacing w:after="0" w:line="240" w:lineRule="auto"/>
              <w:jc w:val="left"/>
            </w:pPr>
            <w:r>
              <w:rPr>
                <w:b w:val="0"/>
                <w:sz w:val="18"/>
              </w:rPr>
              <w:t>C. Price with promotions (5)</w:t>
            </w:r>
          </w:p>
        </w:tc>
        <w:tc>
          <w:tcPr>
            <w:tcW w:type="dxa" w:w="3384"/>
          </w:tcPr>
          <w:p>
            <w:pPr>
              <w:keepNext/>
              <w:spacing w:after="0" w:line="240" w:lineRule="auto"/>
              <w:jc w:val="left"/>
            </w:pPr>
            <w:r>
              <w:rPr>
                <w:b w:val="0"/>
                <w:sz w:val="18"/>
              </w:rPr>
              <w:t>Price × Sales Rep, Endcap, Demo, Demo1-3, Demo4-5</w:t>
            </w:r>
          </w:p>
        </w:tc>
        <w:tc>
          <w:tcPr>
            <w:tcW w:type="dxa" w:w="3600"/>
          </w:tcPr>
          <w:p>
            <w:pPr>
              <w:keepNext/>
              <w:spacing w:after="0" w:line="240" w:lineRule="auto"/>
              <w:jc w:val="left"/>
            </w:pPr>
            <w:r>
              <w:rPr>
                <w:b w:val="0"/>
                <w:sz w:val="18"/>
              </w:rPr>
              <w:t>Does price sensitivity change when a store is being promoted?</w:t>
            </w:r>
          </w:p>
        </w:tc>
      </w:tr>
      <w:tr>
        <w:trPr>
          <w:cantSplit w:val="true"/>
        </w:trPr>
        <w:tc>
          <w:tcPr>
            <w:tcW w:type="dxa" w:w="2232"/>
            <w:shd w:val="clear" w:color="auto" w:fill="F5F2EF"/>
          </w:tcPr>
          <w:p>
            <w:pPr>
              <w:spacing w:after="0" w:line="240" w:lineRule="auto"/>
              <w:jc w:val="left"/>
            </w:pPr>
            <w:r>
              <w:rPr>
                <w:b w:val="0"/>
                <w:sz w:val="18"/>
              </w:rPr>
              <w:t>D. Neighbourhood with levers (4)</w:t>
            </w:r>
          </w:p>
        </w:tc>
        <w:tc>
          <w:tcPr>
            <w:tcW w:type="dxa" w:w="3384"/>
            <w:shd w:val="clear" w:color="auto" w:fill="F5F2EF"/>
          </w:tcPr>
          <w:p>
            <w:pPr>
              <w:spacing w:after="0" w:line="240" w:lineRule="auto"/>
              <w:jc w:val="left"/>
            </w:pPr>
            <w:r>
              <w:rPr>
                <w:b w:val="0"/>
                <w:sz w:val="18"/>
              </w:rPr>
              <w:t>Natural × Sales Rep, Natural × Endcap, Fitness × Sales Rep, Fitness × Demo</w:t>
            </w:r>
          </w:p>
        </w:tc>
        <w:tc>
          <w:tcPr>
            <w:tcW w:type="dxa" w:w="3600"/>
            <w:shd w:val="clear" w:color="auto" w:fill="F5F2EF"/>
          </w:tcPr>
          <w:p>
            <w:pPr>
              <w:spacing w:after="0" w:line="240" w:lineRule="auto"/>
              <w:jc w:val="left"/>
            </w:pPr>
            <w:r>
              <w:rPr>
                <w:b w:val="0"/>
                <w:sz w:val="18"/>
              </w:rPr>
              <w:t>Do competition or a health-conscious catchment change how well a lever works? One plausible pair per lever.</w:t>
            </w:r>
          </w:p>
        </w:tc>
      </w:tr>
    </w:tbl>
    <w:p>
      <w:pPr>
        <w:spacing w:after="40" w:line="120" w:lineRule="auto"/>
      </w:pPr>
    </w:p>
    <w:p>
      <w:r>
        <w:rPr>
          <w:b w:val="0"/>
        </w:rPr>
        <w:t>The 12 products we excluded are of three kinds. Demo × Demo1-3, Demo × Demo4-5 and Demo1-3 × Demo4-5 are different timing flags of the same demo, so their product is non-zero only in a handful of repeat-demo weeks (5 to 18 rows) and means nothing on its own. Natural × Fitness, Price × Natural and Price × Fitness combine neighbourhood counts with each other or with price and have no bearing on the case questions. The remaining six (Natural with Demo, Demo1-3 or Demo4-5, and Fitness with Endcap, Demo1-3 or Demo4-5) repeat the idea already covered by group D. Keeping the pool to 16 also keeps the stepwise candidate list at a manageable 24 terms.</w:t>
      </w:r>
    </w:p>
    <w:p>
      <w:pPr>
        <w:pStyle w:val="Heading2"/>
      </w:pPr>
      <w:r>
        <w:t>6.2 Screening the candidates</w:t>
      </w:r>
    </w:p>
    <w:p>
      <w:pPr>
        <w:keepNext/>
      </w:pPr>
      <w:r>
        <w:rPr>
          <w:b w:val="0"/>
        </w:rPr>
        <w:t>We added each interaction on its own to Model 1 and noted the t-test of the new term and the gain in R² (Table 6.2).</w:t>
      </w:r>
    </w:p>
    <w:p>
      <w:pPr>
        <w:keepNext/>
        <w:spacing w:before="120" w:after="60"/>
        <w:jc w:val="left"/>
      </w:pPr>
      <w:r>
        <w:rPr>
          <w:b/>
          <w:color w:val="333333"/>
          <w:sz w:val="20"/>
        </w:rPr>
        <w:t>Table 6.2: Each interaction added separately to Model 1 (Model 1 R² = 0.673)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3312"/>
        <w:gridCol w:w="1440"/>
        <w:gridCol w:w="1368"/>
        <w:gridCol w:w="1008"/>
        <w:gridCol w:w="1152"/>
        <w:gridCol w:w="1440"/>
      </w:tblGrid>
      <w:tr>
        <w:trPr>
          <w:tblHeader w:val="true"/>
          <w:cantSplit w:val="true"/>
        </w:trPr>
        <w:tc>
          <w:tcPr>
            <w:tcW w:type="dxa" w:w="3312"/>
            <w:shd w:val="clear" w:color="auto" w:fill="6B1B28"/>
          </w:tcPr>
          <w:p>
            <w:pPr>
              <w:keepNext/>
              <w:spacing w:after="0" w:line="240" w:lineRule="auto"/>
              <w:jc w:val="left"/>
            </w:pPr>
            <w:r>
              <w:rPr>
                <w:b/>
                <w:color w:val="FFFFFF"/>
                <w:sz w:val="18"/>
              </w:rPr>
              <w:t>Interaction added to Model 1</w:t>
            </w:r>
          </w:p>
        </w:tc>
        <w:tc>
          <w:tcPr>
            <w:tcW w:type="dxa" w:w="1440"/>
            <w:shd w:val="clear" w:color="auto" w:fill="6B1B28"/>
          </w:tcPr>
          <w:p>
            <w:pPr>
              <w:keepNext/>
              <w:spacing w:after="0" w:line="240" w:lineRule="auto"/>
              <w:jc w:val="right"/>
            </w:pPr>
            <w:r>
              <w:rPr>
                <w:b/>
                <w:color w:val="FFFFFF"/>
                <w:sz w:val="18"/>
              </w:rPr>
              <w:t>Non-zero rows</w:t>
            </w:r>
          </w:p>
        </w:tc>
        <w:tc>
          <w:tcPr>
            <w:tcW w:type="dxa" w:w="1368"/>
            <w:shd w:val="clear" w:color="auto" w:fill="6B1B28"/>
          </w:tcPr>
          <w:p>
            <w:pPr>
              <w:keepNext/>
              <w:spacing w:after="0" w:line="240" w:lineRule="auto"/>
              <w:jc w:val="right"/>
            </w:pPr>
            <w:r>
              <w:rPr>
                <w:b/>
                <w:color w:val="FFFFFF"/>
                <w:sz w:val="18"/>
              </w:rPr>
              <w:t>Coefficient</w:t>
            </w:r>
          </w:p>
        </w:tc>
        <w:tc>
          <w:tcPr>
            <w:tcW w:type="dxa" w:w="1008"/>
            <w:shd w:val="clear" w:color="auto" w:fill="6B1B28"/>
          </w:tcPr>
          <w:p>
            <w:pPr>
              <w:keepNext/>
              <w:spacing w:after="0" w:line="240" w:lineRule="auto"/>
              <w:jc w:val="right"/>
            </w:pPr>
            <w:r>
              <w:rPr>
                <w:b/>
                <w:color w:val="FFFFFF"/>
                <w:sz w:val="18"/>
              </w:rPr>
              <w:t>t</w:t>
            </w:r>
          </w:p>
        </w:tc>
        <w:tc>
          <w:tcPr>
            <w:tcW w:type="dxa" w:w="1152"/>
            <w:shd w:val="clear" w:color="auto" w:fill="6B1B28"/>
          </w:tcPr>
          <w:p>
            <w:pPr>
              <w:keepNext/>
              <w:spacing w:after="0" w:line="240" w:lineRule="auto"/>
              <w:jc w:val="right"/>
            </w:pPr>
            <w:r>
              <w:rPr>
                <w:b/>
                <w:color w:val="FFFFFF"/>
                <w:sz w:val="18"/>
              </w:rPr>
              <w:t>p-value</w:t>
            </w:r>
          </w:p>
        </w:tc>
        <w:tc>
          <w:tcPr>
            <w:tcW w:type="dxa" w:w="1440"/>
            <w:shd w:val="clear" w:color="auto" w:fill="6B1B28"/>
          </w:tcPr>
          <w:p>
            <w:pPr>
              <w:keepNext/>
              <w:spacing w:after="0" w:line="240" w:lineRule="auto"/>
              <w:jc w:val="right"/>
            </w:pPr>
            <w:r>
              <w:rPr>
                <w:b/>
                <w:color w:val="FFFFFF"/>
                <w:sz w:val="18"/>
              </w:rPr>
              <w:t>R² gain (points)</w:t>
            </w:r>
          </w:p>
        </w:tc>
      </w:tr>
      <w:tr>
        <w:trPr>
          <w:cantSplit w:val="true"/>
        </w:trPr>
        <w:tc>
          <w:tcPr>
            <w:tcW w:type="dxa" w:w="3312"/>
            <w:shd w:val="clear" w:color="auto" w:fill="EBD3D6"/>
          </w:tcPr>
          <w:p>
            <w:pPr>
              <w:keepNext/>
              <w:spacing w:after="0" w:line="240" w:lineRule="auto"/>
              <w:jc w:val="left"/>
            </w:pPr>
            <w:r>
              <w:rPr>
                <w:b w:val="0"/>
                <w:sz w:val="18"/>
              </w:rPr>
              <w:t>Endcap × Sales Rep</w:t>
            </w:r>
          </w:p>
        </w:tc>
        <w:tc>
          <w:tcPr>
            <w:tcW w:type="dxa" w:w="1440"/>
            <w:shd w:val="clear" w:color="auto" w:fill="EBD3D6"/>
          </w:tcPr>
          <w:p>
            <w:pPr>
              <w:keepNext/>
              <w:spacing w:after="0" w:line="240" w:lineRule="auto"/>
              <w:jc w:val="right"/>
            </w:pPr>
            <w:r>
              <w:rPr>
                <w:b w:val="0"/>
                <w:sz w:val="18"/>
              </w:rPr>
              <w:t>36</w:t>
            </w:r>
          </w:p>
        </w:tc>
        <w:tc>
          <w:tcPr>
            <w:tcW w:type="dxa" w:w="1368"/>
            <w:shd w:val="clear" w:color="auto" w:fill="EBD3D6"/>
          </w:tcPr>
          <w:p>
            <w:pPr>
              <w:keepNext/>
              <w:spacing w:after="0" w:line="240" w:lineRule="auto"/>
              <w:jc w:val="right"/>
            </w:pPr>
            <w:r>
              <w:rPr>
                <w:b w:val="0"/>
                <w:sz w:val="18"/>
              </w:rPr>
              <w:t>454.06</w:t>
            </w:r>
          </w:p>
        </w:tc>
        <w:tc>
          <w:tcPr>
            <w:tcW w:type="dxa" w:w="1008"/>
            <w:shd w:val="clear" w:color="auto" w:fill="EBD3D6"/>
          </w:tcPr>
          <w:p>
            <w:pPr>
              <w:keepNext/>
              <w:spacing w:after="0" w:line="240" w:lineRule="auto"/>
              <w:jc w:val="right"/>
            </w:pPr>
            <w:r>
              <w:rPr>
                <w:b w:val="0"/>
                <w:sz w:val="18"/>
              </w:rPr>
              <w:t>30.73</w:t>
            </w:r>
          </w:p>
        </w:tc>
        <w:tc>
          <w:tcPr>
            <w:tcW w:type="dxa" w:w="1152"/>
            <w:shd w:val="clear" w:color="auto" w:fill="EBD3D6"/>
          </w:tcPr>
          <w:p>
            <w:pPr>
              <w:keepNext/>
              <w:spacing w:after="0" w:line="240" w:lineRule="auto"/>
              <w:jc w:val="right"/>
            </w:pPr>
            <w:r>
              <w:rPr>
                <w:b w:val="0"/>
                <w:sz w:val="18"/>
              </w:rPr>
              <w:t>&lt;0.001</w:t>
            </w:r>
          </w:p>
        </w:tc>
        <w:tc>
          <w:tcPr>
            <w:tcW w:type="dxa" w:w="1440"/>
            <w:shd w:val="clear" w:color="auto" w:fill="EBD3D6"/>
          </w:tcPr>
          <w:p>
            <w:pPr>
              <w:keepNext/>
              <w:spacing w:after="0" w:line="240" w:lineRule="auto"/>
              <w:jc w:val="right"/>
            </w:pPr>
            <w:r>
              <w:rPr>
                <w:b w:val="0"/>
                <w:sz w:val="18"/>
              </w:rPr>
              <w:t>13.32</w:t>
            </w:r>
          </w:p>
        </w:tc>
      </w:tr>
      <w:tr>
        <w:trPr>
          <w:cantSplit w:val="true"/>
        </w:trPr>
        <w:tc>
          <w:tcPr>
            <w:tcW w:type="dxa" w:w="3312"/>
          </w:tcPr>
          <w:p>
            <w:pPr>
              <w:keepNext/>
              <w:spacing w:after="0" w:line="240" w:lineRule="auto"/>
              <w:jc w:val="left"/>
            </w:pPr>
            <w:r>
              <w:rPr>
                <w:b w:val="0"/>
                <w:sz w:val="18"/>
              </w:rPr>
              <w:t>Endcap × Demo</w:t>
            </w:r>
          </w:p>
        </w:tc>
        <w:tc>
          <w:tcPr>
            <w:tcW w:type="dxa" w:w="1440"/>
          </w:tcPr>
          <w:p>
            <w:pPr>
              <w:keepNext/>
              <w:spacing w:after="0" w:line="240" w:lineRule="auto"/>
              <w:jc w:val="right"/>
            </w:pPr>
            <w:r>
              <w:rPr>
                <w:b w:val="0"/>
                <w:sz w:val="18"/>
              </w:rPr>
              <w:t>8</w:t>
            </w:r>
          </w:p>
        </w:tc>
        <w:tc>
          <w:tcPr>
            <w:tcW w:type="dxa" w:w="1368"/>
          </w:tcPr>
          <w:p>
            <w:pPr>
              <w:keepNext/>
              <w:spacing w:after="0" w:line="240" w:lineRule="auto"/>
              <w:jc w:val="right"/>
            </w:pPr>
            <w:r>
              <w:rPr>
                <w:b w:val="0"/>
                <w:sz w:val="18"/>
              </w:rPr>
              <w:t>129.28</w:t>
            </w:r>
          </w:p>
        </w:tc>
        <w:tc>
          <w:tcPr>
            <w:tcW w:type="dxa" w:w="1008"/>
          </w:tcPr>
          <w:p>
            <w:pPr>
              <w:keepNext/>
              <w:spacing w:after="0" w:line="240" w:lineRule="auto"/>
              <w:jc w:val="right"/>
            </w:pPr>
            <w:r>
              <w:rPr>
                <w:b w:val="0"/>
                <w:sz w:val="18"/>
              </w:rPr>
              <w:t>5.08</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0.60</w:t>
            </w:r>
          </w:p>
        </w:tc>
      </w:tr>
      <w:tr>
        <w:trPr>
          <w:cantSplit w:val="true"/>
        </w:trPr>
        <w:tc>
          <w:tcPr>
            <w:tcW w:type="dxa" w:w="3312"/>
          </w:tcPr>
          <w:p>
            <w:pPr>
              <w:keepNext/>
              <w:spacing w:after="0" w:line="240" w:lineRule="auto"/>
              <w:jc w:val="left"/>
            </w:pPr>
            <w:r>
              <w:rPr>
                <w:b w:val="0"/>
                <w:sz w:val="18"/>
              </w:rPr>
              <w:t>Endcap × Demo1-3</w:t>
            </w:r>
          </w:p>
        </w:tc>
        <w:tc>
          <w:tcPr>
            <w:tcW w:type="dxa" w:w="1440"/>
          </w:tcPr>
          <w:p>
            <w:pPr>
              <w:keepNext/>
              <w:spacing w:after="0" w:line="240" w:lineRule="auto"/>
              <w:jc w:val="right"/>
            </w:pPr>
            <w:r>
              <w:rPr>
                <w:b w:val="0"/>
                <w:sz w:val="18"/>
              </w:rPr>
              <w:t>17</w:t>
            </w:r>
          </w:p>
        </w:tc>
        <w:tc>
          <w:tcPr>
            <w:tcW w:type="dxa" w:w="1368"/>
          </w:tcPr>
          <w:p>
            <w:pPr>
              <w:keepNext/>
              <w:spacing w:after="0" w:line="240" w:lineRule="auto"/>
              <w:jc w:val="right"/>
            </w:pPr>
            <w:r>
              <w:rPr>
                <w:b w:val="0"/>
                <w:sz w:val="18"/>
              </w:rPr>
              <w:t>97.40</w:t>
            </w:r>
          </w:p>
        </w:tc>
        <w:tc>
          <w:tcPr>
            <w:tcW w:type="dxa" w:w="1008"/>
          </w:tcPr>
          <w:p>
            <w:pPr>
              <w:keepNext/>
              <w:spacing w:after="0" w:line="240" w:lineRule="auto"/>
              <w:jc w:val="right"/>
            </w:pPr>
            <w:r>
              <w:rPr>
                <w:b w:val="0"/>
                <w:sz w:val="18"/>
              </w:rPr>
              <w:t>5.04</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0.59</w:t>
            </w:r>
          </w:p>
        </w:tc>
      </w:tr>
      <w:tr>
        <w:trPr>
          <w:cantSplit w:val="true"/>
        </w:trPr>
        <w:tc>
          <w:tcPr>
            <w:tcW w:type="dxa" w:w="3312"/>
          </w:tcPr>
          <w:p>
            <w:pPr>
              <w:keepNext/>
              <w:spacing w:after="0" w:line="240" w:lineRule="auto"/>
              <w:jc w:val="left"/>
            </w:pPr>
            <w:r>
              <w:rPr>
                <w:b w:val="0"/>
                <w:sz w:val="18"/>
              </w:rPr>
              <w:t>Natural × Sales Rep</w:t>
            </w:r>
          </w:p>
        </w:tc>
        <w:tc>
          <w:tcPr>
            <w:tcW w:type="dxa" w:w="1440"/>
          </w:tcPr>
          <w:p>
            <w:pPr>
              <w:keepNext/>
              <w:spacing w:after="0" w:line="240" w:lineRule="auto"/>
              <w:jc w:val="right"/>
            </w:pPr>
            <w:r>
              <w:rPr>
                <w:b w:val="0"/>
                <w:sz w:val="18"/>
              </w:rPr>
              <w:t>674</w:t>
            </w:r>
          </w:p>
        </w:tc>
        <w:tc>
          <w:tcPr>
            <w:tcW w:type="dxa" w:w="1368"/>
          </w:tcPr>
          <w:p>
            <w:pPr>
              <w:keepNext/>
              <w:spacing w:after="0" w:line="240" w:lineRule="auto"/>
              <w:jc w:val="right"/>
            </w:pPr>
            <w:r>
              <w:rPr>
                <w:b w:val="0"/>
                <w:sz w:val="18"/>
              </w:rPr>
              <w:t>13.79</w:t>
            </w:r>
          </w:p>
        </w:tc>
        <w:tc>
          <w:tcPr>
            <w:tcW w:type="dxa" w:w="1008"/>
          </w:tcPr>
          <w:p>
            <w:pPr>
              <w:keepNext/>
              <w:spacing w:after="0" w:line="240" w:lineRule="auto"/>
              <w:jc w:val="right"/>
            </w:pPr>
            <w:r>
              <w:rPr>
                <w:b w:val="0"/>
                <w:sz w:val="18"/>
              </w:rPr>
              <w:t>3.84</w:t>
            </w:r>
          </w:p>
        </w:tc>
        <w:tc>
          <w:tcPr>
            <w:tcW w:type="dxa" w:w="1152"/>
          </w:tcPr>
          <w:p>
            <w:pPr>
              <w:keepNext/>
              <w:spacing w:after="0" w:line="240" w:lineRule="auto"/>
              <w:jc w:val="right"/>
            </w:pPr>
            <w:r>
              <w:rPr>
                <w:b w:val="0"/>
                <w:sz w:val="18"/>
              </w:rPr>
              <w:t>&lt;0.001</w:t>
            </w:r>
          </w:p>
        </w:tc>
        <w:tc>
          <w:tcPr>
            <w:tcW w:type="dxa" w:w="1440"/>
          </w:tcPr>
          <w:p>
            <w:pPr>
              <w:keepNext/>
              <w:spacing w:after="0" w:line="240" w:lineRule="auto"/>
              <w:jc w:val="right"/>
            </w:pPr>
            <w:r>
              <w:rPr>
                <w:b w:val="0"/>
                <w:sz w:val="18"/>
              </w:rPr>
              <w:t>0.35</w:t>
            </w:r>
          </w:p>
        </w:tc>
      </w:tr>
      <w:tr>
        <w:trPr>
          <w:cantSplit w:val="true"/>
        </w:trPr>
        <w:tc>
          <w:tcPr>
            <w:tcW w:type="dxa" w:w="3312"/>
          </w:tcPr>
          <w:p>
            <w:pPr>
              <w:keepNext/>
              <w:spacing w:after="0" w:line="240" w:lineRule="auto"/>
              <w:jc w:val="left"/>
            </w:pPr>
            <w:r>
              <w:rPr>
                <w:b w:val="0"/>
                <w:sz w:val="18"/>
              </w:rPr>
              <w:t>Natural × Endcap</w:t>
            </w:r>
          </w:p>
        </w:tc>
        <w:tc>
          <w:tcPr>
            <w:tcW w:type="dxa" w:w="1440"/>
          </w:tcPr>
          <w:p>
            <w:pPr>
              <w:keepNext/>
              <w:spacing w:after="0" w:line="240" w:lineRule="auto"/>
              <w:jc w:val="right"/>
            </w:pPr>
            <w:r>
              <w:rPr>
                <w:b w:val="0"/>
                <w:sz w:val="18"/>
              </w:rPr>
              <w:t>53</w:t>
            </w:r>
          </w:p>
        </w:tc>
        <w:tc>
          <w:tcPr>
            <w:tcW w:type="dxa" w:w="1368"/>
          </w:tcPr>
          <w:p>
            <w:pPr>
              <w:keepNext/>
              <w:spacing w:after="0" w:line="240" w:lineRule="auto"/>
              <w:jc w:val="right"/>
            </w:pPr>
            <w:r>
              <w:rPr>
                <w:b w:val="0"/>
                <w:sz w:val="18"/>
              </w:rPr>
              <w:t>−30.81</w:t>
            </w:r>
          </w:p>
        </w:tc>
        <w:tc>
          <w:tcPr>
            <w:tcW w:type="dxa" w:w="1008"/>
          </w:tcPr>
          <w:p>
            <w:pPr>
              <w:keepNext/>
              <w:spacing w:after="0" w:line="240" w:lineRule="auto"/>
              <w:jc w:val="right"/>
            </w:pPr>
            <w:r>
              <w:rPr>
                <w:b w:val="0"/>
                <w:sz w:val="18"/>
              </w:rPr>
              <w:t>−2.86</w:t>
            </w:r>
          </w:p>
        </w:tc>
        <w:tc>
          <w:tcPr>
            <w:tcW w:type="dxa" w:w="1152"/>
          </w:tcPr>
          <w:p>
            <w:pPr>
              <w:keepNext/>
              <w:spacing w:after="0" w:line="240" w:lineRule="auto"/>
              <w:jc w:val="right"/>
            </w:pPr>
            <w:r>
              <w:rPr>
                <w:b w:val="0"/>
                <w:sz w:val="18"/>
              </w:rPr>
              <w:t>0.004</w:t>
            </w:r>
          </w:p>
        </w:tc>
        <w:tc>
          <w:tcPr>
            <w:tcW w:type="dxa" w:w="1440"/>
          </w:tcPr>
          <w:p>
            <w:pPr>
              <w:keepNext/>
              <w:spacing w:after="0" w:line="240" w:lineRule="auto"/>
              <w:jc w:val="right"/>
            </w:pPr>
            <w:r>
              <w:rPr>
                <w:b w:val="0"/>
                <w:sz w:val="18"/>
              </w:rPr>
              <w:t>0.19</w:t>
            </w:r>
          </w:p>
        </w:tc>
      </w:tr>
      <w:tr>
        <w:trPr>
          <w:cantSplit w:val="true"/>
        </w:trPr>
        <w:tc>
          <w:tcPr>
            <w:tcW w:type="dxa" w:w="3312"/>
          </w:tcPr>
          <w:p>
            <w:pPr>
              <w:keepNext/>
              <w:spacing w:after="0" w:line="240" w:lineRule="auto"/>
              <w:jc w:val="left"/>
            </w:pPr>
            <w:r>
              <w:rPr>
                <w:b w:val="0"/>
                <w:sz w:val="18"/>
              </w:rPr>
              <w:t>Price × Demo4-5</w:t>
            </w:r>
          </w:p>
        </w:tc>
        <w:tc>
          <w:tcPr>
            <w:tcW w:type="dxa" w:w="1440"/>
          </w:tcPr>
          <w:p>
            <w:pPr>
              <w:keepNext/>
              <w:spacing w:after="0" w:line="240" w:lineRule="auto"/>
              <w:jc w:val="right"/>
            </w:pPr>
            <w:r>
              <w:rPr>
                <w:b w:val="0"/>
                <w:sz w:val="18"/>
              </w:rPr>
              <w:t>105</w:t>
            </w:r>
          </w:p>
        </w:tc>
        <w:tc>
          <w:tcPr>
            <w:tcW w:type="dxa" w:w="1368"/>
          </w:tcPr>
          <w:p>
            <w:pPr>
              <w:keepNext/>
              <w:spacing w:after="0" w:line="240" w:lineRule="auto"/>
              <w:jc w:val="right"/>
            </w:pPr>
            <w:r>
              <w:rPr>
                <w:b w:val="0"/>
                <w:sz w:val="18"/>
              </w:rPr>
              <w:t>20.61</w:t>
            </w:r>
          </w:p>
        </w:tc>
        <w:tc>
          <w:tcPr>
            <w:tcW w:type="dxa" w:w="1008"/>
          </w:tcPr>
          <w:p>
            <w:pPr>
              <w:keepNext/>
              <w:spacing w:after="0" w:line="240" w:lineRule="auto"/>
              <w:jc w:val="right"/>
            </w:pPr>
            <w:r>
              <w:rPr>
                <w:b w:val="0"/>
                <w:sz w:val="18"/>
              </w:rPr>
              <w:t>1.65</w:t>
            </w:r>
          </w:p>
        </w:tc>
        <w:tc>
          <w:tcPr>
            <w:tcW w:type="dxa" w:w="1152"/>
          </w:tcPr>
          <w:p>
            <w:pPr>
              <w:keepNext/>
              <w:spacing w:after="0" w:line="240" w:lineRule="auto"/>
              <w:jc w:val="right"/>
            </w:pPr>
            <w:r>
              <w:rPr>
                <w:b w:val="0"/>
                <w:sz w:val="18"/>
              </w:rPr>
              <w:t>0.100</w:t>
            </w:r>
          </w:p>
        </w:tc>
        <w:tc>
          <w:tcPr>
            <w:tcW w:type="dxa" w:w="1440"/>
          </w:tcPr>
          <w:p>
            <w:pPr>
              <w:keepNext/>
              <w:spacing w:after="0" w:line="240" w:lineRule="auto"/>
              <w:jc w:val="right"/>
            </w:pPr>
            <w:r>
              <w:rPr>
                <w:b w:val="0"/>
                <w:sz w:val="18"/>
              </w:rPr>
              <w:t>0.06</w:t>
            </w:r>
          </w:p>
        </w:tc>
      </w:tr>
      <w:tr>
        <w:trPr>
          <w:cantSplit w:val="true"/>
        </w:trPr>
        <w:tc>
          <w:tcPr>
            <w:tcW w:type="dxa" w:w="3312"/>
          </w:tcPr>
          <w:p>
            <w:pPr>
              <w:keepNext/>
              <w:spacing w:after="0" w:line="240" w:lineRule="auto"/>
              <w:jc w:val="left"/>
            </w:pPr>
            <w:r>
              <w:rPr>
                <w:b w:val="0"/>
                <w:sz w:val="18"/>
              </w:rPr>
              <w:t>Endcap × Demo4-5</w:t>
            </w:r>
          </w:p>
        </w:tc>
        <w:tc>
          <w:tcPr>
            <w:tcW w:type="dxa" w:w="1440"/>
          </w:tcPr>
          <w:p>
            <w:pPr>
              <w:keepNext/>
              <w:spacing w:after="0" w:line="240" w:lineRule="auto"/>
              <w:jc w:val="right"/>
            </w:pPr>
            <w:r>
              <w:rPr>
                <w:b w:val="0"/>
                <w:sz w:val="18"/>
              </w:rPr>
              <w:t>4</w:t>
            </w:r>
          </w:p>
        </w:tc>
        <w:tc>
          <w:tcPr>
            <w:tcW w:type="dxa" w:w="1368"/>
          </w:tcPr>
          <w:p>
            <w:pPr>
              <w:keepNext/>
              <w:spacing w:after="0" w:line="240" w:lineRule="auto"/>
              <w:jc w:val="right"/>
            </w:pPr>
            <w:r>
              <w:rPr>
                <w:b w:val="0"/>
                <w:sz w:val="18"/>
              </w:rPr>
              <w:t>−53.64</w:t>
            </w:r>
          </w:p>
        </w:tc>
        <w:tc>
          <w:tcPr>
            <w:tcW w:type="dxa" w:w="1008"/>
          </w:tcPr>
          <w:p>
            <w:pPr>
              <w:keepNext/>
              <w:spacing w:after="0" w:line="240" w:lineRule="auto"/>
              <w:jc w:val="right"/>
            </w:pPr>
            <w:r>
              <w:rPr>
                <w:b w:val="0"/>
                <w:sz w:val="18"/>
              </w:rPr>
              <w:t>−1.58</w:t>
            </w:r>
          </w:p>
        </w:tc>
        <w:tc>
          <w:tcPr>
            <w:tcW w:type="dxa" w:w="1152"/>
          </w:tcPr>
          <w:p>
            <w:pPr>
              <w:keepNext/>
              <w:spacing w:after="0" w:line="240" w:lineRule="auto"/>
              <w:jc w:val="right"/>
            </w:pPr>
            <w:r>
              <w:rPr>
                <w:b w:val="0"/>
                <w:sz w:val="18"/>
              </w:rPr>
              <w:t>0.114</w:t>
            </w:r>
          </w:p>
        </w:tc>
        <w:tc>
          <w:tcPr>
            <w:tcW w:type="dxa" w:w="1440"/>
          </w:tcPr>
          <w:p>
            <w:pPr>
              <w:keepNext/>
              <w:spacing w:after="0" w:line="240" w:lineRule="auto"/>
              <w:jc w:val="right"/>
            </w:pPr>
            <w:r>
              <w:rPr>
                <w:b w:val="0"/>
                <w:sz w:val="18"/>
              </w:rPr>
              <w:t>0.06</w:t>
            </w:r>
          </w:p>
        </w:tc>
      </w:tr>
      <w:tr>
        <w:trPr>
          <w:cantSplit w:val="true"/>
        </w:trPr>
        <w:tc>
          <w:tcPr>
            <w:tcW w:type="dxa" w:w="3312"/>
          </w:tcPr>
          <w:p>
            <w:pPr>
              <w:keepNext/>
              <w:spacing w:after="0" w:line="240" w:lineRule="auto"/>
              <w:jc w:val="left"/>
            </w:pPr>
            <w:r>
              <w:rPr>
                <w:b w:val="0"/>
                <w:sz w:val="18"/>
              </w:rPr>
              <w:t>Sales Rep × Demo</w:t>
            </w:r>
          </w:p>
        </w:tc>
        <w:tc>
          <w:tcPr>
            <w:tcW w:type="dxa" w:w="1440"/>
          </w:tcPr>
          <w:p>
            <w:pPr>
              <w:keepNext/>
              <w:spacing w:after="0" w:line="240" w:lineRule="auto"/>
              <w:jc w:val="right"/>
            </w:pPr>
            <w:r>
              <w:rPr>
                <w:b w:val="0"/>
                <w:sz w:val="18"/>
              </w:rPr>
              <w:t>69</w:t>
            </w:r>
          </w:p>
        </w:tc>
        <w:tc>
          <w:tcPr>
            <w:tcW w:type="dxa" w:w="1368"/>
          </w:tcPr>
          <w:p>
            <w:pPr>
              <w:keepNext/>
              <w:spacing w:after="0" w:line="240" w:lineRule="auto"/>
              <w:jc w:val="right"/>
            </w:pPr>
            <w:r>
              <w:rPr>
                <w:b w:val="0"/>
                <w:sz w:val="18"/>
              </w:rPr>
              <w:t>23.78</w:t>
            </w:r>
          </w:p>
        </w:tc>
        <w:tc>
          <w:tcPr>
            <w:tcW w:type="dxa" w:w="1008"/>
          </w:tcPr>
          <w:p>
            <w:pPr>
              <w:keepNext/>
              <w:spacing w:after="0" w:line="240" w:lineRule="auto"/>
              <w:jc w:val="right"/>
            </w:pPr>
            <w:r>
              <w:rPr>
                <w:b w:val="0"/>
                <w:sz w:val="18"/>
              </w:rPr>
              <w:t>1.17</w:t>
            </w:r>
          </w:p>
        </w:tc>
        <w:tc>
          <w:tcPr>
            <w:tcW w:type="dxa" w:w="1152"/>
          </w:tcPr>
          <w:p>
            <w:pPr>
              <w:keepNext/>
              <w:spacing w:after="0" w:line="240" w:lineRule="auto"/>
              <w:jc w:val="right"/>
            </w:pPr>
            <w:r>
              <w:rPr>
                <w:b w:val="0"/>
                <w:sz w:val="18"/>
              </w:rPr>
              <w:t>0.241</w:t>
            </w:r>
          </w:p>
        </w:tc>
        <w:tc>
          <w:tcPr>
            <w:tcW w:type="dxa" w:w="1440"/>
          </w:tcPr>
          <w:p>
            <w:pPr>
              <w:keepNext/>
              <w:spacing w:after="0" w:line="240" w:lineRule="auto"/>
              <w:jc w:val="right"/>
            </w:pPr>
            <w:r>
              <w:rPr>
                <w:b w:val="0"/>
                <w:sz w:val="18"/>
              </w:rPr>
              <w:t>0.03</w:t>
            </w:r>
          </w:p>
        </w:tc>
      </w:tr>
      <w:tr>
        <w:trPr>
          <w:cantSplit w:val="true"/>
        </w:trPr>
        <w:tc>
          <w:tcPr>
            <w:tcW w:type="dxa" w:w="3312"/>
          </w:tcPr>
          <w:p>
            <w:pPr>
              <w:keepNext/>
              <w:spacing w:after="0" w:line="240" w:lineRule="auto"/>
              <w:jc w:val="left"/>
            </w:pPr>
            <w:r>
              <w:rPr>
                <w:b w:val="0"/>
                <w:sz w:val="18"/>
              </w:rPr>
              <w:t>Sales Rep × Demo1-3</w:t>
            </w:r>
          </w:p>
        </w:tc>
        <w:tc>
          <w:tcPr>
            <w:tcW w:type="dxa" w:w="1440"/>
          </w:tcPr>
          <w:p>
            <w:pPr>
              <w:keepNext/>
              <w:spacing w:after="0" w:line="240" w:lineRule="auto"/>
              <w:jc w:val="right"/>
            </w:pPr>
            <w:r>
              <w:rPr>
                <w:b w:val="0"/>
                <w:sz w:val="18"/>
              </w:rPr>
              <w:t>180</w:t>
            </w:r>
          </w:p>
        </w:tc>
        <w:tc>
          <w:tcPr>
            <w:tcW w:type="dxa" w:w="1368"/>
          </w:tcPr>
          <w:p>
            <w:pPr>
              <w:keepNext/>
              <w:spacing w:after="0" w:line="240" w:lineRule="auto"/>
              <w:jc w:val="right"/>
            </w:pPr>
            <w:r>
              <w:rPr>
                <w:b w:val="0"/>
                <w:sz w:val="18"/>
              </w:rPr>
              <w:t>13.98</w:t>
            </w:r>
          </w:p>
        </w:tc>
        <w:tc>
          <w:tcPr>
            <w:tcW w:type="dxa" w:w="1008"/>
          </w:tcPr>
          <w:p>
            <w:pPr>
              <w:keepNext/>
              <w:spacing w:after="0" w:line="240" w:lineRule="auto"/>
              <w:jc w:val="right"/>
            </w:pPr>
            <w:r>
              <w:rPr>
                <w:b w:val="0"/>
                <w:sz w:val="18"/>
              </w:rPr>
              <w:t>1.15</w:t>
            </w:r>
          </w:p>
        </w:tc>
        <w:tc>
          <w:tcPr>
            <w:tcW w:type="dxa" w:w="1152"/>
          </w:tcPr>
          <w:p>
            <w:pPr>
              <w:keepNext/>
              <w:spacing w:after="0" w:line="240" w:lineRule="auto"/>
              <w:jc w:val="right"/>
            </w:pPr>
            <w:r>
              <w:rPr>
                <w:b w:val="0"/>
                <w:sz w:val="18"/>
              </w:rPr>
              <w:t>0.249</w:t>
            </w:r>
          </w:p>
        </w:tc>
        <w:tc>
          <w:tcPr>
            <w:tcW w:type="dxa" w:w="1440"/>
          </w:tcPr>
          <w:p>
            <w:pPr>
              <w:keepNext/>
              <w:spacing w:after="0" w:line="240" w:lineRule="auto"/>
              <w:jc w:val="right"/>
            </w:pPr>
            <w:r>
              <w:rPr>
                <w:b w:val="0"/>
                <w:sz w:val="18"/>
              </w:rPr>
              <w:t>0.03</w:t>
            </w:r>
          </w:p>
        </w:tc>
      </w:tr>
      <w:tr>
        <w:trPr>
          <w:cantSplit w:val="true"/>
        </w:trPr>
        <w:tc>
          <w:tcPr>
            <w:tcW w:type="dxa" w:w="3312"/>
          </w:tcPr>
          <w:p>
            <w:pPr>
              <w:keepNext/>
              <w:spacing w:after="0" w:line="240" w:lineRule="auto"/>
              <w:jc w:val="left"/>
            </w:pPr>
            <w:r>
              <w:rPr>
                <w:b w:val="0"/>
                <w:sz w:val="18"/>
              </w:rPr>
              <w:t>Price × Demo</w:t>
            </w:r>
          </w:p>
        </w:tc>
        <w:tc>
          <w:tcPr>
            <w:tcW w:type="dxa" w:w="1440"/>
          </w:tcPr>
          <w:p>
            <w:pPr>
              <w:keepNext/>
              <w:spacing w:after="0" w:line="240" w:lineRule="auto"/>
              <w:jc w:val="right"/>
            </w:pPr>
            <w:r>
              <w:rPr>
                <w:b w:val="0"/>
                <w:sz w:val="18"/>
              </w:rPr>
              <w:t>81</w:t>
            </w:r>
          </w:p>
        </w:tc>
        <w:tc>
          <w:tcPr>
            <w:tcW w:type="dxa" w:w="1368"/>
          </w:tcPr>
          <w:p>
            <w:pPr>
              <w:keepNext/>
              <w:spacing w:after="0" w:line="240" w:lineRule="auto"/>
              <w:jc w:val="right"/>
            </w:pPr>
            <w:r>
              <w:rPr>
                <w:b w:val="0"/>
                <w:sz w:val="18"/>
              </w:rPr>
              <w:t>−11.65</w:t>
            </w:r>
          </w:p>
        </w:tc>
        <w:tc>
          <w:tcPr>
            <w:tcW w:type="dxa" w:w="1008"/>
          </w:tcPr>
          <w:p>
            <w:pPr>
              <w:keepNext/>
              <w:spacing w:after="0" w:line="240" w:lineRule="auto"/>
              <w:jc w:val="right"/>
            </w:pPr>
            <w:r>
              <w:rPr>
                <w:b w:val="0"/>
                <w:sz w:val="18"/>
              </w:rPr>
              <w:t>−0.75</w:t>
            </w:r>
          </w:p>
        </w:tc>
        <w:tc>
          <w:tcPr>
            <w:tcW w:type="dxa" w:w="1152"/>
          </w:tcPr>
          <w:p>
            <w:pPr>
              <w:keepNext/>
              <w:spacing w:after="0" w:line="240" w:lineRule="auto"/>
              <w:jc w:val="right"/>
            </w:pPr>
            <w:r>
              <w:rPr>
                <w:b w:val="0"/>
                <w:sz w:val="18"/>
              </w:rPr>
              <w:t>0.453</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Sales Rep × Demo4-5</w:t>
            </w:r>
          </w:p>
        </w:tc>
        <w:tc>
          <w:tcPr>
            <w:tcW w:type="dxa" w:w="1440"/>
          </w:tcPr>
          <w:p>
            <w:pPr>
              <w:keepNext/>
              <w:spacing w:after="0" w:line="240" w:lineRule="auto"/>
              <w:jc w:val="right"/>
            </w:pPr>
            <w:r>
              <w:rPr>
                <w:b w:val="0"/>
                <w:sz w:val="18"/>
              </w:rPr>
              <w:t>83</w:t>
            </w:r>
          </w:p>
        </w:tc>
        <w:tc>
          <w:tcPr>
            <w:tcW w:type="dxa" w:w="1368"/>
          </w:tcPr>
          <w:p>
            <w:pPr>
              <w:keepNext/>
              <w:spacing w:after="0" w:line="240" w:lineRule="auto"/>
              <w:jc w:val="right"/>
            </w:pPr>
            <w:r>
              <w:rPr>
                <w:b w:val="0"/>
                <w:sz w:val="18"/>
              </w:rPr>
              <w:t>10.76</w:t>
            </w:r>
          </w:p>
        </w:tc>
        <w:tc>
          <w:tcPr>
            <w:tcW w:type="dxa" w:w="1008"/>
          </w:tcPr>
          <w:p>
            <w:pPr>
              <w:keepNext/>
              <w:spacing w:after="0" w:line="240" w:lineRule="auto"/>
              <w:jc w:val="right"/>
            </w:pPr>
            <w:r>
              <w:rPr>
                <w:b w:val="0"/>
                <w:sz w:val="18"/>
              </w:rPr>
              <w:t>0.68</w:t>
            </w:r>
          </w:p>
        </w:tc>
        <w:tc>
          <w:tcPr>
            <w:tcW w:type="dxa" w:w="1152"/>
          </w:tcPr>
          <w:p>
            <w:pPr>
              <w:keepNext/>
              <w:spacing w:after="0" w:line="240" w:lineRule="auto"/>
              <w:jc w:val="right"/>
            </w:pPr>
            <w:r>
              <w:rPr>
                <w:b w:val="0"/>
                <w:sz w:val="18"/>
              </w:rPr>
              <w:t>0.496</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Fitness × Sales Rep</w:t>
            </w:r>
          </w:p>
        </w:tc>
        <w:tc>
          <w:tcPr>
            <w:tcW w:type="dxa" w:w="1440"/>
          </w:tcPr>
          <w:p>
            <w:pPr>
              <w:keepNext/>
              <w:spacing w:after="0" w:line="240" w:lineRule="auto"/>
              <w:jc w:val="right"/>
            </w:pPr>
            <w:r>
              <w:rPr>
                <w:b w:val="0"/>
                <w:sz w:val="18"/>
              </w:rPr>
              <w:t>666</w:t>
            </w:r>
          </w:p>
        </w:tc>
        <w:tc>
          <w:tcPr>
            <w:tcW w:type="dxa" w:w="1368"/>
          </w:tcPr>
          <w:p>
            <w:pPr>
              <w:keepNext/>
              <w:spacing w:after="0" w:line="240" w:lineRule="auto"/>
              <w:jc w:val="right"/>
            </w:pPr>
            <w:r>
              <w:rPr>
                <w:b w:val="0"/>
                <w:sz w:val="18"/>
              </w:rPr>
              <w:t>−1.35</w:t>
            </w:r>
          </w:p>
        </w:tc>
        <w:tc>
          <w:tcPr>
            <w:tcW w:type="dxa" w:w="1008"/>
          </w:tcPr>
          <w:p>
            <w:pPr>
              <w:keepNext/>
              <w:spacing w:after="0" w:line="240" w:lineRule="auto"/>
              <w:jc w:val="right"/>
            </w:pPr>
            <w:r>
              <w:rPr>
                <w:b w:val="0"/>
                <w:sz w:val="18"/>
              </w:rPr>
              <w:t>−0.61</w:t>
            </w:r>
          </w:p>
        </w:tc>
        <w:tc>
          <w:tcPr>
            <w:tcW w:type="dxa" w:w="1152"/>
          </w:tcPr>
          <w:p>
            <w:pPr>
              <w:keepNext/>
              <w:spacing w:after="0" w:line="240" w:lineRule="auto"/>
              <w:jc w:val="right"/>
            </w:pPr>
            <w:r>
              <w:rPr>
                <w:b w:val="0"/>
                <w:sz w:val="18"/>
              </w:rPr>
              <w:t>0.543</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Price × Demo1-3</w:t>
            </w:r>
          </w:p>
        </w:tc>
        <w:tc>
          <w:tcPr>
            <w:tcW w:type="dxa" w:w="1440"/>
          </w:tcPr>
          <w:p>
            <w:pPr>
              <w:keepNext/>
              <w:spacing w:after="0" w:line="240" w:lineRule="auto"/>
              <w:jc w:val="right"/>
            </w:pPr>
            <w:r>
              <w:rPr>
                <w:b w:val="0"/>
                <w:sz w:val="18"/>
              </w:rPr>
              <w:t>217</w:t>
            </w:r>
          </w:p>
        </w:tc>
        <w:tc>
          <w:tcPr>
            <w:tcW w:type="dxa" w:w="1368"/>
          </w:tcPr>
          <w:p>
            <w:pPr>
              <w:keepNext/>
              <w:spacing w:after="0" w:line="240" w:lineRule="auto"/>
              <w:jc w:val="right"/>
            </w:pPr>
            <w:r>
              <w:rPr>
                <w:b w:val="0"/>
                <w:sz w:val="18"/>
              </w:rPr>
              <w:t>−4.63</w:t>
            </w:r>
          </w:p>
        </w:tc>
        <w:tc>
          <w:tcPr>
            <w:tcW w:type="dxa" w:w="1008"/>
          </w:tcPr>
          <w:p>
            <w:pPr>
              <w:keepNext/>
              <w:spacing w:after="0" w:line="240" w:lineRule="auto"/>
              <w:jc w:val="right"/>
            </w:pPr>
            <w:r>
              <w:rPr>
                <w:b w:val="0"/>
                <w:sz w:val="18"/>
              </w:rPr>
              <w:t>−0.49</w:t>
            </w:r>
          </w:p>
        </w:tc>
        <w:tc>
          <w:tcPr>
            <w:tcW w:type="dxa" w:w="1152"/>
          </w:tcPr>
          <w:p>
            <w:pPr>
              <w:keepNext/>
              <w:spacing w:after="0" w:line="240" w:lineRule="auto"/>
              <w:jc w:val="right"/>
            </w:pPr>
            <w:r>
              <w:rPr>
                <w:b w:val="0"/>
                <w:sz w:val="18"/>
              </w:rPr>
              <w:t>0.621</w:t>
            </w:r>
          </w:p>
        </w:tc>
        <w:tc>
          <w:tcPr>
            <w:tcW w:type="dxa" w:w="1440"/>
          </w:tcPr>
          <w:p>
            <w:pPr>
              <w:keepNext/>
              <w:spacing w:after="0" w:line="240" w:lineRule="auto"/>
              <w:jc w:val="right"/>
            </w:pPr>
            <w:r>
              <w:rPr>
                <w:b w:val="0"/>
                <w:sz w:val="18"/>
              </w:rPr>
              <w:t>0.01</w:t>
            </w:r>
          </w:p>
        </w:tc>
      </w:tr>
      <w:tr>
        <w:trPr>
          <w:cantSplit w:val="true"/>
        </w:trPr>
        <w:tc>
          <w:tcPr>
            <w:tcW w:type="dxa" w:w="3312"/>
          </w:tcPr>
          <w:p>
            <w:pPr>
              <w:keepNext/>
              <w:spacing w:after="0" w:line="240" w:lineRule="auto"/>
              <w:jc w:val="left"/>
            </w:pPr>
            <w:r>
              <w:rPr>
                <w:b w:val="0"/>
                <w:sz w:val="18"/>
              </w:rPr>
              <w:t>Fitness × Demo</w:t>
            </w:r>
          </w:p>
        </w:tc>
        <w:tc>
          <w:tcPr>
            <w:tcW w:type="dxa" w:w="1440"/>
          </w:tcPr>
          <w:p>
            <w:pPr>
              <w:keepNext/>
              <w:spacing w:after="0" w:line="240" w:lineRule="auto"/>
              <w:jc w:val="right"/>
            </w:pPr>
            <w:r>
              <w:rPr>
                <w:b w:val="0"/>
                <w:sz w:val="18"/>
              </w:rPr>
              <w:t>73</w:t>
            </w:r>
          </w:p>
        </w:tc>
        <w:tc>
          <w:tcPr>
            <w:tcW w:type="dxa" w:w="1368"/>
          </w:tcPr>
          <w:p>
            <w:pPr>
              <w:keepNext/>
              <w:spacing w:after="0" w:line="240" w:lineRule="auto"/>
              <w:jc w:val="right"/>
            </w:pPr>
            <w:r>
              <w:rPr>
                <w:b w:val="0"/>
                <w:sz w:val="18"/>
              </w:rPr>
              <w:t>−1.52</w:t>
            </w:r>
          </w:p>
        </w:tc>
        <w:tc>
          <w:tcPr>
            <w:tcW w:type="dxa" w:w="1008"/>
          </w:tcPr>
          <w:p>
            <w:pPr>
              <w:keepNext/>
              <w:spacing w:after="0" w:line="240" w:lineRule="auto"/>
              <w:jc w:val="right"/>
            </w:pPr>
            <w:r>
              <w:rPr>
                <w:b w:val="0"/>
                <w:sz w:val="18"/>
              </w:rPr>
              <w:t>−0.31</w:t>
            </w:r>
          </w:p>
        </w:tc>
        <w:tc>
          <w:tcPr>
            <w:tcW w:type="dxa" w:w="1152"/>
          </w:tcPr>
          <w:p>
            <w:pPr>
              <w:keepNext/>
              <w:spacing w:after="0" w:line="240" w:lineRule="auto"/>
              <w:jc w:val="right"/>
            </w:pPr>
            <w:r>
              <w:rPr>
                <w:b w:val="0"/>
                <w:sz w:val="18"/>
              </w:rPr>
              <w:t>0.760</w:t>
            </w:r>
          </w:p>
        </w:tc>
        <w:tc>
          <w:tcPr>
            <w:tcW w:type="dxa" w:w="1440"/>
          </w:tcPr>
          <w:p>
            <w:pPr>
              <w:keepNext/>
              <w:spacing w:after="0" w:line="240" w:lineRule="auto"/>
              <w:jc w:val="right"/>
            </w:pPr>
            <w:r>
              <w:rPr>
                <w:b w:val="0"/>
                <w:sz w:val="18"/>
              </w:rPr>
              <w:t>0.00</w:t>
            </w:r>
          </w:p>
        </w:tc>
      </w:tr>
      <w:tr>
        <w:trPr>
          <w:cantSplit w:val="true"/>
        </w:trPr>
        <w:tc>
          <w:tcPr>
            <w:tcW w:type="dxa" w:w="3312"/>
          </w:tcPr>
          <w:p>
            <w:pPr>
              <w:keepNext/>
              <w:spacing w:after="0" w:line="240" w:lineRule="auto"/>
              <w:jc w:val="left"/>
            </w:pPr>
            <w:r>
              <w:rPr>
                <w:b w:val="0"/>
                <w:sz w:val="18"/>
              </w:rPr>
              <w:t>Price × Sales Rep</w:t>
            </w:r>
          </w:p>
        </w:tc>
        <w:tc>
          <w:tcPr>
            <w:tcW w:type="dxa" w:w="1440"/>
          </w:tcPr>
          <w:p>
            <w:pPr>
              <w:keepNext/>
              <w:spacing w:after="0" w:line="240" w:lineRule="auto"/>
              <w:jc w:val="right"/>
            </w:pPr>
            <w:r>
              <w:rPr>
                <w:b w:val="0"/>
                <w:sz w:val="18"/>
              </w:rPr>
              <w:t>762</w:t>
            </w:r>
          </w:p>
        </w:tc>
        <w:tc>
          <w:tcPr>
            <w:tcW w:type="dxa" w:w="1368"/>
          </w:tcPr>
          <w:p>
            <w:pPr>
              <w:keepNext/>
              <w:spacing w:after="0" w:line="240" w:lineRule="auto"/>
              <w:jc w:val="right"/>
            </w:pPr>
            <w:r>
              <w:rPr>
                <w:b w:val="0"/>
                <w:sz w:val="18"/>
              </w:rPr>
              <w:t>−2.41</w:t>
            </w:r>
          </w:p>
        </w:tc>
        <w:tc>
          <w:tcPr>
            <w:tcW w:type="dxa" w:w="1008"/>
          </w:tcPr>
          <w:p>
            <w:pPr>
              <w:keepNext/>
              <w:spacing w:after="0" w:line="240" w:lineRule="auto"/>
              <w:jc w:val="right"/>
            </w:pPr>
            <w:r>
              <w:rPr>
                <w:b w:val="0"/>
                <w:sz w:val="18"/>
              </w:rPr>
              <w:t>−0.29</w:t>
            </w:r>
          </w:p>
        </w:tc>
        <w:tc>
          <w:tcPr>
            <w:tcW w:type="dxa" w:w="1152"/>
          </w:tcPr>
          <w:p>
            <w:pPr>
              <w:keepNext/>
              <w:spacing w:after="0" w:line="240" w:lineRule="auto"/>
              <w:jc w:val="right"/>
            </w:pPr>
            <w:r>
              <w:rPr>
                <w:b w:val="0"/>
                <w:sz w:val="18"/>
              </w:rPr>
              <w:t>0.770</w:t>
            </w:r>
          </w:p>
        </w:tc>
        <w:tc>
          <w:tcPr>
            <w:tcW w:type="dxa" w:w="1440"/>
          </w:tcPr>
          <w:p>
            <w:pPr>
              <w:keepNext/>
              <w:spacing w:after="0" w:line="240" w:lineRule="auto"/>
              <w:jc w:val="right"/>
            </w:pPr>
            <w:r>
              <w:rPr>
                <w:b w:val="0"/>
                <w:sz w:val="18"/>
              </w:rPr>
              <w:t>0.00</w:t>
            </w:r>
          </w:p>
        </w:tc>
      </w:tr>
      <w:tr>
        <w:trPr>
          <w:cantSplit w:val="true"/>
        </w:trPr>
        <w:tc>
          <w:tcPr>
            <w:tcW w:type="dxa" w:w="3312"/>
          </w:tcPr>
          <w:p>
            <w:pPr>
              <w:spacing w:after="0" w:line="240" w:lineRule="auto"/>
              <w:jc w:val="left"/>
            </w:pPr>
            <w:r>
              <w:rPr>
                <w:b w:val="0"/>
                <w:sz w:val="18"/>
              </w:rPr>
              <w:t>Price × Endcap</w:t>
            </w:r>
          </w:p>
        </w:tc>
        <w:tc>
          <w:tcPr>
            <w:tcW w:type="dxa" w:w="1440"/>
          </w:tcPr>
          <w:p>
            <w:pPr>
              <w:spacing w:after="0" w:line="240" w:lineRule="auto"/>
              <w:jc w:val="right"/>
            </w:pPr>
            <w:r>
              <w:rPr>
                <w:b w:val="0"/>
                <w:sz w:val="18"/>
              </w:rPr>
              <w:t>53</w:t>
            </w:r>
          </w:p>
        </w:tc>
        <w:tc>
          <w:tcPr>
            <w:tcW w:type="dxa" w:w="1368"/>
          </w:tcPr>
          <w:p>
            <w:pPr>
              <w:spacing w:after="0" w:line="240" w:lineRule="auto"/>
              <w:jc w:val="right"/>
            </w:pPr>
            <w:r>
              <w:rPr>
                <w:b w:val="0"/>
                <w:sz w:val="18"/>
              </w:rPr>
              <w:t>3.42</w:t>
            </w:r>
          </w:p>
        </w:tc>
        <w:tc>
          <w:tcPr>
            <w:tcW w:type="dxa" w:w="1008"/>
          </w:tcPr>
          <w:p>
            <w:pPr>
              <w:spacing w:after="0" w:line="240" w:lineRule="auto"/>
              <w:jc w:val="right"/>
            </w:pPr>
            <w:r>
              <w:rPr>
                <w:b w:val="0"/>
                <w:sz w:val="18"/>
              </w:rPr>
              <w:t>0.20</w:t>
            </w:r>
          </w:p>
        </w:tc>
        <w:tc>
          <w:tcPr>
            <w:tcW w:type="dxa" w:w="1152"/>
          </w:tcPr>
          <w:p>
            <w:pPr>
              <w:spacing w:after="0" w:line="240" w:lineRule="auto"/>
              <w:jc w:val="right"/>
            </w:pPr>
            <w:r>
              <w:rPr>
                <w:b w:val="0"/>
                <w:sz w:val="18"/>
              </w:rPr>
              <w:t>0.841</w:t>
            </w:r>
          </w:p>
        </w:tc>
        <w:tc>
          <w:tcPr>
            <w:tcW w:type="dxa" w:w="1440"/>
          </w:tcPr>
          <w:p>
            <w:pPr>
              <w:spacing w:after="0" w:line="240" w:lineRule="auto"/>
              <w:jc w:val="right"/>
            </w:pPr>
            <w:r>
              <w:rPr>
                <w:b w:val="0"/>
                <w:sz w:val="18"/>
              </w:rPr>
              <w:t>0.00</w:t>
            </w:r>
          </w:p>
        </w:tc>
      </w:tr>
    </w:tbl>
    <w:p>
      <w:pPr>
        <w:spacing w:after="40" w:line="120" w:lineRule="auto"/>
      </w:pPr>
    </w:p>
    <w:p>
      <w:pPr>
        <w:pStyle w:val="Heading2"/>
      </w:pPr>
      <w:r>
        <w:t>6.3 Why Endcap × Sales Rep</w:t>
      </w:r>
    </w:p>
    <w:p>
      <w:pPr>
        <w:keepNext/>
        <w:spacing w:after="20"/>
        <w:jc w:val="center"/>
      </w:pPr>
      <w:r>
        <w:drawing>
          <wp:inline xmlns:a="http://schemas.openxmlformats.org/drawingml/2006/main" xmlns:pic="http://schemas.openxmlformats.org/drawingml/2006/picture">
            <wp:extent cx="5212080" cy="2159290"/>
            <wp:docPr id="4" name="Picture 4"/>
            <wp:cNvGraphicFramePr>
              <a:graphicFrameLocks noChangeAspect="1"/>
            </wp:cNvGraphicFramePr>
            <a:graphic>
              <a:graphicData uri="http://schemas.openxmlformats.org/drawingml/2006/picture">
                <pic:pic>
                  <pic:nvPicPr>
                    <pic:cNvPr id="0" name="why_endcap_rep.png"/>
                    <pic:cNvPicPr/>
                  </pic:nvPicPr>
                  <pic:blipFill>
                    <a:blip r:embed="rId13"/>
                    <a:stretch>
                      <a:fillRect/>
                    </a:stretch>
                  </pic:blipFill>
                  <pic:spPr>
                    <a:xfrm>
                      <a:off x="0" y="0"/>
                      <a:ext cx="5212080" cy="2159290"/>
                    </a:xfrm>
                    <a:prstGeom prst="rect"/>
                  </pic:spPr>
                </pic:pic>
              </a:graphicData>
            </a:graphic>
          </wp:inline>
        </w:drawing>
      </w:r>
    </w:p>
    <w:p>
      <w:pPr>
        <w:spacing w:after="160"/>
        <w:jc w:val="center"/>
      </w:pPr>
      <w:r>
        <w:rPr>
          <w:b/>
          <w:color w:val="333333"/>
          <w:sz w:val="20"/>
        </w:rPr>
        <w:t>Figure 6.1: Raw average units by endcap and sales rep (left) and the mean residual of Model 1 in each group (right)</w:t>
      </w:r>
    </w:p>
    <w:p>
      <w:r>
        <w:rPr>
          <w:b w:val="0"/>
        </w:rPr>
        <w:t>Endcap × Sales Rep is the clear choice. Adding it lifts R² from 0.673 to 0.806, a gain of 13.3 points (t = 30.7); the next best term adds 0.6 points. It also accounts for exactly what Model 1 got wrong. Endcap weeks without a rep average only 218 units (n = 17), compared with 757 with a rep (n = 36). Model 1 applies one endcap coefficient to both groups, so it over-predicts the first by 295 units on average and under-predicts the second by 139. These are the two detached clusters in Figure 3.1. The interaction also makes business sense: an endcap has to be won, built and kept stocked by someone in the store, and in the case it is the sales representatives who compete to place GoodBelly on endcaps.</w:t>
      </w:r>
    </w:p>
    <w:p>
      <w:r>
        <w:rPr>
          <w:b w:val="0"/>
        </w:rPr>
        <w:t>Two of the other terms look significant in Table 6.2, Endcap × Demo and Endcap × Demo1-3, but they rest on only 8 and 17 non-zero rows, all within endcap weeks, and they do not survive once Endcap × Sales Rep is in the model (p = 0.27 and 0.91). Natural × Sales Rep behaves the same way (p = 0.15 after). The evidence for the “no rep” half of the finding comes from only three stores (Bethesda, Coral Gables and Sarasota), a limitation we return to in Section 8.</w:t>
      </w:r>
    </w:p>
    <w:p>
      <w:pPr>
        <w:pStyle w:val="Heading1"/>
        <w:pBdr>
          <w:bottom w:val="single" w:sz="6" w:space="2" w:color="7A1E2E"/>
        </w:pBdr>
      </w:pPr>
      <w:r>
        <w:t>7. Model 3: The Stepwise Model</w:t>
      </w:r>
    </w:p>
    <w:p>
      <w:pPr>
        <w:pStyle w:val="Heading2"/>
      </w:pPr>
      <w:r>
        <w:t>7.1 Selection</w:t>
      </w:r>
    </w:p>
    <w:p>
      <w:r>
        <w:rPr>
          <w:b w:val="0"/>
        </w:rPr>
        <w:t>To let the data choose the final variables, we ran stepwise regression in JASP with the eight original variables and the 16 interactions as candidates (24 in all), with entry at p &lt; 0.05 and removal at p &gt; 0.10. At each step JASP adds the candidate with the largest partial correlation, provided its partial F-test is significant, and then removes any variable whose p-value has risen above 0.10. The procedure stopped after six steps. Natural, Fitness, plain Endcap and the other 15 interactions never entered, and nothing was removed. In particular, Endcap × Sales Rep entered first and plain Endcap never did, which means the endcap effect sits entirely inside the interaction.</w:t>
      </w:r>
    </w:p>
    <w:p>
      <w:pPr>
        <w:keepNext/>
        <w:spacing w:before="120" w:after="60"/>
        <w:jc w:val="left"/>
      </w:pPr>
      <w:r>
        <w:rPr>
          <w:b/>
          <w:color w:val="333333"/>
          <w:sz w:val="20"/>
        </w:rPr>
        <w:t>Table 7.1: Stepwise selection of Model 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152"/>
        <w:gridCol w:w="2880"/>
        <w:gridCol w:w="1440"/>
        <w:gridCol w:w="1152"/>
        <w:gridCol w:w="1296"/>
        <w:gridCol w:w="1440"/>
      </w:tblGrid>
      <w:tr>
        <w:trPr>
          <w:tblHeader w:val="true"/>
          <w:cantSplit w:val="true"/>
        </w:trPr>
        <w:tc>
          <w:tcPr>
            <w:tcW w:type="dxa" w:w="1152"/>
            <w:shd w:val="clear" w:color="auto" w:fill="6B1B28"/>
          </w:tcPr>
          <w:p>
            <w:pPr>
              <w:keepNext/>
              <w:spacing w:after="0" w:line="240" w:lineRule="auto"/>
              <w:jc w:val="left"/>
            </w:pPr>
            <w:r>
              <w:rPr>
                <w:b/>
                <w:color w:val="FFFFFF"/>
                <w:sz w:val="19"/>
              </w:rPr>
              <w:t>Step</w:t>
            </w:r>
          </w:p>
        </w:tc>
        <w:tc>
          <w:tcPr>
            <w:tcW w:type="dxa" w:w="2880"/>
            <w:shd w:val="clear" w:color="auto" w:fill="6B1B28"/>
          </w:tcPr>
          <w:p>
            <w:pPr>
              <w:keepNext/>
              <w:spacing w:after="0" w:line="240" w:lineRule="auto"/>
              <w:jc w:val="left"/>
            </w:pPr>
            <w:r>
              <w:rPr>
                <w:b/>
                <w:color w:val="FFFFFF"/>
                <w:sz w:val="19"/>
              </w:rPr>
              <w:t>Variable entered</w:t>
            </w:r>
          </w:p>
        </w:tc>
        <w:tc>
          <w:tcPr>
            <w:tcW w:type="dxa" w:w="1440"/>
            <w:shd w:val="clear" w:color="auto" w:fill="6B1B28"/>
          </w:tcPr>
          <w:p>
            <w:pPr>
              <w:keepNext/>
              <w:spacing w:after="0" w:line="240" w:lineRule="auto"/>
              <w:jc w:val="right"/>
            </w:pPr>
            <w:r>
              <w:rPr>
                <w:b/>
                <w:color w:val="FFFFFF"/>
                <w:sz w:val="19"/>
              </w:rPr>
              <w:t>F change</w:t>
            </w:r>
          </w:p>
        </w:tc>
        <w:tc>
          <w:tcPr>
            <w:tcW w:type="dxa" w:w="1152"/>
            <w:shd w:val="clear" w:color="auto" w:fill="6B1B28"/>
          </w:tcPr>
          <w:p>
            <w:pPr>
              <w:keepNext/>
              <w:spacing w:after="0" w:line="240" w:lineRule="auto"/>
              <w:jc w:val="right"/>
            </w:pPr>
            <w:r>
              <w:rPr>
                <w:b/>
                <w:color w:val="FFFFFF"/>
                <w:sz w:val="19"/>
              </w:rPr>
              <w:t>R²</w:t>
            </w:r>
          </w:p>
        </w:tc>
        <w:tc>
          <w:tcPr>
            <w:tcW w:type="dxa" w:w="1296"/>
            <w:shd w:val="clear" w:color="auto" w:fill="6B1B28"/>
          </w:tcPr>
          <w:p>
            <w:pPr>
              <w:keepNext/>
              <w:spacing w:after="0" w:line="240" w:lineRule="auto"/>
              <w:jc w:val="right"/>
            </w:pPr>
            <w:r>
              <w:rPr>
                <w:b/>
                <w:color w:val="FFFFFF"/>
                <w:sz w:val="19"/>
              </w:rPr>
              <w:t>Adj. R²</w:t>
            </w:r>
          </w:p>
        </w:tc>
        <w:tc>
          <w:tcPr>
            <w:tcW w:type="dxa" w:w="1440"/>
            <w:shd w:val="clear" w:color="auto" w:fill="6B1B28"/>
          </w:tcPr>
          <w:p>
            <w:pPr>
              <w:keepNext/>
              <w:spacing w:after="0" w:line="240" w:lineRule="auto"/>
              <w:jc w:val="right"/>
            </w:pPr>
            <w:r>
              <w:rPr>
                <w:b/>
                <w:color w:val="FFFFFF"/>
                <w:sz w:val="19"/>
              </w:rPr>
              <w:t>R² change</w:t>
            </w:r>
          </w:p>
        </w:tc>
      </w:tr>
      <w:tr>
        <w:trPr>
          <w:cantSplit w:val="true"/>
        </w:trPr>
        <w:tc>
          <w:tcPr>
            <w:tcW w:type="dxa" w:w="1152"/>
          </w:tcPr>
          <w:p>
            <w:pPr>
              <w:keepNext/>
              <w:spacing w:after="0" w:line="240" w:lineRule="auto"/>
              <w:jc w:val="left"/>
            </w:pPr>
            <w:r>
              <w:rPr>
                <w:b w:val="0"/>
                <w:sz w:val="19"/>
              </w:rPr>
              <w:t>Step 1</w:t>
            </w:r>
          </w:p>
        </w:tc>
        <w:tc>
          <w:tcPr>
            <w:tcW w:type="dxa" w:w="2880"/>
          </w:tcPr>
          <w:p>
            <w:pPr>
              <w:keepNext/>
              <w:spacing w:after="0" w:line="240" w:lineRule="auto"/>
              <w:jc w:val="left"/>
            </w:pPr>
            <w:r>
              <w:rPr>
                <w:b w:val="0"/>
                <w:sz w:val="19"/>
              </w:rPr>
              <w:t>Endcap × Sales Rep</w:t>
            </w:r>
          </w:p>
        </w:tc>
        <w:tc>
          <w:tcPr>
            <w:tcW w:type="dxa" w:w="1440"/>
          </w:tcPr>
          <w:p>
            <w:pPr>
              <w:keepNext/>
              <w:spacing w:after="0" w:line="240" w:lineRule="auto"/>
              <w:jc w:val="right"/>
            </w:pPr>
            <w:r>
              <w:rPr>
                <w:b w:val="0"/>
                <w:sz w:val="19"/>
              </w:rPr>
              <w:t>1,679.3</w:t>
            </w:r>
          </w:p>
        </w:tc>
        <w:tc>
          <w:tcPr>
            <w:tcW w:type="dxa" w:w="1152"/>
          </w:tcPr>
          <w:p>
            <w:pPr>
              <w:keepNext/>
              <w:spacing w:after="0" w:line="240" w:lineRule="auto"/>
              <w:jc w:val="right"/>
            </w:pPr>
            <w:r>
              <w:rPr>
                <w:b w:val="0"/>
                <w:sz w:val="19"/>
              </w:rPr>
              <w:t>0.548</w:t>
            </w:r>
          </w:p>
        </w:tc>
        <w:tc>
          <w:tcPr>
            <w:tcW w:type="dxa" w:w="1296"/>
          </w:tcPr>
          <w:p>
            <w:pPr>
              <w:keepNext/>
              <w:spacing w:after="0" w:line="240" w:lineRule="auto"/>
              <w:jc w:val="right"/>
            </w:pPr>
            <w:r>
              <w:rPr>
                <w:b w:val="0"/>
                <w:sz w:val="19"/>
              </w:rPr>
              <w:t>0.548</w:t>
            </w:r>
          </w:p>
        </w:tc>
        <w:tc>
          <w:tcPr>
            <w:tcW w:type="dxa" w:w="1440"/>
          </w:tcPr>
          <w:p>
            <w:pPr>
              <w:keepNext/>
              <w:spacing w:after="0" w:line="240" w:lineRule="auto"/>
              <w:jc w:val="right"/>
            </w:pPr>
            <w:r>
              <w:rPr>
                <w:b w:val="0"/>
                <w:sz w:val="19"/>
              </w:rPr>
              <w:t>0.548</w:t>
            </w:r>
          </w:p>
        </w:tc>
      </w:tr>
      <w:tr>
        <w:trPr>
          <w:cantSplit w:val="true"/>
        </w:trPr>
        <w:tc>
          <w:tcPr>
            <w:tcW w:type="dxa" w:w="1152"/>
            <w:shd w:val="clear" w:color="auto" w:fill="F5F2EF"/>
          </w:tcPr>
          <w:p>
            <w:pPr>
              <w:keepNext/>
              <w:spacing w:after="0" w:line="240" w:lineRule="auto"/>
              <w:jc w:val="left"/>
            </w:pPr>
            <w:r>
              <w:rPr>
                <w:b w:val="0"/>
                <w:sz w:val="19"/>
              </w:rPr>
              <w:t>Step 2</w:t>
            </w:r>
          </w:p>
        </w:tc>
        <w:tc>
          <w:tcPr>
            <w:tcW w:type="dxa" w:w="2880"/>
            <w:shd w:val="clear" w:color="auto" w:fill="F5F2EF"/>
          </w:tcPr>
          <w:p>
            <w:pPr>
              <w:keepNext/>
              <w:spacing w:after="0" w:line="240" w:lineRule="auto"/>
              <w:jc w:val="left"/>
            </w:pPr>
            <w:r>
              <w:rPr>
                <w:b w:val="0"/>
                <w:sz w:val="19"/>
              </w:rPr>
              <w:t>Sales Rep</w:t>
            </w:r>
          </w:p>
        </w:tc>
        <w:tc>
          <w:tcPr>
            <w:tcW w:type="dxa" w:w="1440"/>
            <w:shd w:val="clear" w:color="auto" w:fill="F5F2EF"/>
          </w:tcPr>
          <w:p>
            <w:pPr>
              <w:keepNext/>
              <w:spacing w:after="0" w:line="240" w:lineRule="auto"/>
              <w:jc w:val="right"/>
            </w:pPr>
            <w:r>
              <w:rPr>
                <w:b w:val="0"/>
                <w:sz w:val="19"/>
              </w:rPr>
              <w:t>490.0</w:t>
            </w:r>
          </w:p>
        </w:tc>
        <w:tc>
          <w:tcPr>
            <w:tcW w:type="dxa" w:w="1152"/>
            <w:shd w:val="clear" w:color="auto" w:fill="F5F2EF"/>
          </w:tcPr>
          <w:p>
            <w:pPr>
              <w:keepNext/>
              <w:spacing w:after="0" w:line="240" w:lineRule="auto"/>
              <w:jc w:val="right"/>
            </w:pPr>
            <w:r>
              <w:rPr>
                <w:b w:val="0"/>
                <w:sz w:val="19"/>
              </w:rPr>
              <w:t>0.666</w:t>
            </w:r>
          </w:p>
        </w:tc>
        <w:tc>
          <w:tcPr>
            <w:tcW w:type="dxa" w:w="1296"/>
            <w:shd w:val="clear" w:color="auto" w:fill="F5F2EF"/>
          </w:tcPr>
          <w:p>
            <w:pPr>
              <w:keepNext/>
              <w:spacing w:after="0" w:line="240" w:lineRule="auto"/>
              <w:jc w:val="right"/>
            </w:pPr>
            <w:r>
              <w:rPr>
                <w:b w:val="0"/>
                <w:sz w:val="19"/>
              </w:rPr>
              <w:t>0.666</w:t>
            </w:r>
          </w:p>
        </w:tc>
        <w:tc>
          <w:tcPr>
            <w:tcW w:type="dxa" w:w="1440"/>
            <w:shd w:val="clear" w:color="auto" w:fill="F5F2EF"/>
          </w:tcPr>
          <w:p>
            <w:pPr>
              <w:keepNext/>
              <w:spacing w:after="0" w:line="240" w:lineRule="auto"/>
              <w:jc w:val="right"/>
            </w:pPr>
            <w:r>
              <w:rPr>
                <w:b w:val="0"/>
                <w:sz w:val="19"/>
              </w:rPr>
              <w:t>0.118</w:t>
            </w:r>
          </w:p>
        </w:tc>
      </w:tr>
      <w:tr>
        <w:trPr>
          <w:cantSplit w:val="true"/>
        </w:trPr>
        <w:tc>
          <w:tcPr>
            <w:tcW w:type="dxa" w:w="1152"/>
          </w:tcPr>
          <w:p>
            <w:pPr>
              <w:keepNext/>
              <w:spacing w:after="0" w:line="240" w:lineRule="auto"/>
              <w:jc w:val="left"/>
            </w:pPr>
            <w:r>
              <w:rPr>
                <w:b w:val="0"/>
                <w:sz w:val="19"/>
              </w:rPr>
              <w:t>Step 3</w:t>
            </w:r>
          </w:p>
        </w:tc>
        <w:tc>
          <w:tcPr>
            <w:tcW w:type="dxa" w:w="2880"/>
          </w:tcPr>
          <w:p>
            <w:pPr>
              <w:keepNext/>
              <w:spacing w:after="0" w:line="240" w:lineRule="auto"/>
              <w:jc w:val="left"/>
            </w:pPr>
            <w:r>
              <w:rPr>
                <w:b w:val="0"/>
                <w:sz w:val="19"/>
              </w:rPr>
              <w:t>Demo1-3</w:t>
            </w:r>
          </w:p>
        </w:tc>
        <w:tc>
          <w:tcPr>
            <w:tcW w:type="dxa" w:w="1440"/>
          </w:tcPr>
          <w:p>
            <w:pPr>
              <w:keepNext/>
              <w:spacing w:after="0" w:line="240" w:lineRule="auto"/>
              <w:jc w:val="right"/>
            </w:pPr>
            <w:r>
              <w:rPr>
                <w:b w:val="0"/>
                <w:sz w:val="19"/>
              </w:rPr>
              <w:t>277.2</w:t>
            </w:r>
          </w:p>
        </w:tc>
        <w:tc>
          <w:tcPr>
            <w:tcW w:type="dxa" w:w="1152"/>
          </w:tcPr>
          <w:p>
            <w:pPr>
              <w:keepNext/>
              <w:spacing w:after="0" w:line="240" w:lineRule="auto"/>
              <w:jc w:val="right"/>
            </w:pPr>
            <w:r>
              <w:rPr>
                <w:b w:val="0"/>
                <w:sz w:val="19"/>
              </w:rPr>
              <w:t>0.722</w:t>
            </w:r>
          </w:p>
        </w:tc>
        <w:tc>
          <w:tcPr>
            <w:tcW w:type="dxa" w:w="1296"/>
          </w:tcPr>
          <w:p>
            <w:pPr>
              <w:keepNext/>
              <w:spacing w:after="0" w:line="240" w:lineRule="auto"/>
              <w:jc w:val="right"/>
            </w:pPr>
            <w:r>
              <w:rPr>
                <w:b w:val="0"/>
                <w:sz w:val="19"/>
              </w:rPr>
              <w:t>0.722</w:t>
            </w:r>
          </w:p>
        </w:tc>
        <w:tc>
          <w:tcPr>
            <w:tcW w:type="dxa" w:w="1440"/>
          </w:tcPr>
          <w:p>
            <w:pPr>
              <w:keepNext/>
              <w:spacing w:after="0" w:line="240" w:lineRule="auto"/>
              <w:jc w:val="right"/>
            </w:pPr>
            <w:r>
              <w:rPr>
                <w:b w:val="0"/>
                <w:sz w:val="19"/>
              </w:rPr>
              <w:t>0.056</w:t>
            </w:r>
          </w:p>
        </w:tc>
      </w:tr>
      <w:tr>
        <w:trPr>
          <w:cantSplit w:val="true"/>
        </w:trPr>
        <w:tc>
          <w:tcPr>
            <w:tcW w:type="dxa" w:w="1152"/>
            <w:shd w:val="clear" w:color="auto" w:fill="F5F2EF"/>
          </w:tcPr>
          <w:p>
            <w:pPr>
              <w:keepNext/>
              <w:spacing w:after="0" w:line="240" w:lineRule="auto"/>
              <w:jc w:val="left"/>
            </w:pPr>
            <w:r>
              <w:rPr>
                <w:b w:val="0"/>
                <w:sz w:val="19"/>
              </w:rPr>
              <w:t>Step 4</w:t>
            </w:r>
          </w:p>
        </w:tc>
        <w:tc>
          <w:tcPr>
            <w:tcW w:type="dxa" w:w="2880"/>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right"/>
            </w:pPr>
            <w:r>
              <w:rPr>
                <w:b w:val="0"/>
                <w:sz w:val="19"/>
              </w:rPr>
              <w:t>278.3</w:t>
            </w:r>
          </w:p>
        </w:tc>
        <w:tc>
          <w:tcPr>
            <w:tcW w:type="dxa" w:w="1152"/>
            <w:shd w:val="clear" w:color="auto" w:fill="F5F2EF"/>
          </w:tcPr>
          <w:p>
            <w:pPr>
              <w:keepNext/>
              <w:spacing w:after="0" w:line="240" w:lineRule="auto"/>
              <w:jc w:val="right"/>
            </w:pPr>
            <w:r>
              <w:rPr>
                <w:b w:val="0"/>
                <w:sz w:val="19"/>
              </w:rPr>
              <w:t>0.769</w:t>
            </w:r>
          </w:p>
        </w:tc>
        <w:tc>
          <w:tcPr>
            <w:tcW w:type="dxa" w:w="1296"/>
            <w:shd w:val="clear" w:color="auto" w:fill="F5F2EF"/>
          </w:tcPr>
          <w:p>
            <w:pPr>
              <w:keepNext/>
              <w:spacing w:after="0" w:line="240" w:lineRule="auto"/>
              <w:jc w:val="right"/>
            </w:pPr>
            <w:r>
              <w:rPr>
                <w:b w:val="0"/>
                <w:sz w:val="19"/>
              </w:rPr>
              <w:t>0.768</w:t>
            </w:r>
          </w:p>
        </w:tc>
        <w:tc>
          <w:tcPr>
            <w:tcW w:type="dxa" w:w="1440"/>
            <w:shd w:val="clear" w:color="auto" w:fill="F5F2EF"/>
          </w:tcPr>
          <w:p>
            <w:pPr>
              <w:keepNext/>
              <w:spacing w:after="0" w:line="240" w:lineRule="auto"/>
              <w:jc w:val="right"/>
            </w:pPr>
            <w:r>
              <w:rPr>
                <w:b w:val="0"/>
                <w:sz w:val="19"/>
              </w:rPr>
              <w:t>0.047</w:t>
            </w:r>
          </w:p>
        </w:tc>
      </w:tr>
      <w:tr>
        <w:trPr>
          <w:cantSplit w:val="true"/>
        </w:trPr>
        <w:tc>
          <w:tcPr>
            <w:tcW w:type="dxa" w:w="1152"/>
          </w:tcPr>
          <w:p>
            <w:pPr>
              <w:keepNext/>
              <w:spacing w:after="0" w:line="240" w:lineRule="auto"/>
              <w:jc w:val="left"/>
            </w:pPr>
            <w:r>
              <w:rPr>
                <w:b w:val="0"/>
                <w:sz w:val="19"/>
              </w:rPr>
              <w:t>Step 5</w:t>
            </w:r>
          </w:p>
        </w:tc>
        <w:tc>
          <w:tcPr>
            <w:tcW w:type="dxa" w:w="2880"/>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203.5</w:t>
            </w:r>
          </w:p>
        </w:tc>
        <w:tc>
          <w:tcPr>
            <w:tcW w:type="dxa" w:w="1152"/>
          </w:tcPr>
          <w:p>
            <w:pPr>
              <w:keepNext/>
              <w:spacing w:after="0" w:line="240" w:lineRule="auto"/>
              <w:jc w:val="right"/>
            </w:pPr>
            <w:r>
              <w:rPr>
                <w:b w:val="0"/>
                <w:sz w:val="19"/>
              </w:rPr>
              <w:t>0.798</w:t>
            </w:r>
          </w:p>
        </w:tc>
        <w:tc>
          <w:tcPr>
            <w:tcW w:type="dxa" w:w="1296"/>
          </w:tcPr>
          <w:p>
            <w:pPr>
              <w:keepNext/>
              <w:spacing w:after="0" w:line="240" w:lineRule="auto"/>
              <w:jc w:val="right"/>
            </w:pPr>
            <w:r>
              <w:rPr>
                <w:b w:val="0"/>
                <w:sz w:val="19"/>
              </w:rPr>
              <w:t>0.798</w:t>
            </w:r>
          </w:p>
        </w:tc>
        <w:tc>
          <w:tcPr>
            <w:tcW w:type="dxa" w:w="1440"/>
          </w:tcPr>
          <w:p>
            <w:pPr>
              <w:keepNext/>
              <w:spacing w:after="0" w:line="240" w:lineRule="auto"/>
              <w:jc w:val="right"/>
            </w:pPr>
            <w:r>
              <w:rPr>
                <w:b w:val="0"/>
                <w:sz w:val="19"/>
              </w:rPr>
              <w:t>0.030</w:t>
            </w:r>
          </w:p>
        </w:tc>
      </w:tr>
      <w:tr>
        <w:trPr>
          <w:cantSplit w:val="true"/>
        </w:trPr>
        <w:tc>
          <w:tcPr>
            <w:tcW w:type="dxa" w:w="1152"/>
            <w:shd w:val="clear" w:color="auto" w:fill="F5F2EF"/>
          </w:tcPr>
          <w:p>
            <w:pPr>
              <w:spacing w:after="0" w:line="240" w:lineRule="auto"/>
              <w:jc w:val="left"/>
            </w:pPr>
            <w:r>
              <w:rPr>
                <w:b w:val="0"/>
                <w:sz w:val="19"/>
              </w:rPr>
              <w:t>Step 6</w:t>
            </w:r>
          </w:p>
        </w:tc>
        <w:tc>
          <w:tcPr>
            <w:tcW w:type="dxa" w:w="2880"/>
            <w:shd w:val="clear" w:color="auto" w:fill="F5F2EF"/>
          </w:tcPr>
          <w:p>
            <w:pPr>
              <w:spacing w:after="0" w:line="240" w:lineRule="auto"/>
              <w:jc w:val="left"/>
            </w:pPr>
            <w:r>
              <w:rPr>
                <w:b w:val="0"/>
                <w:sz w:val="19"/>
              </w:rPr>
              <w:t>Price</w:t>
            </w:r>
          </w:p>
        </w:tc>
        <w:tc>
          <w:tcPr>
            <w:tcW w:type="dxa" w:w="1440"/>
            <w:shd w:val="clear" w:color="auto" w:fill="F5F2EF"/>
          </w:tcPr>
          <w:p>
            <w:pPr>
              <w:spacing w:after="0" w:line="240" w:lineRule="auto"/>
              <w:jc w:val="right"/>
            </w:pPr>
            <w:r>
              <w:rPr>
                <w:b w:val="0"/>
                <w:sz w:val="19"/>
              </w:rPr>
              <w:t>52.6</w:t>
            </w:r>
          </w:p>
        </w:tc>
        <w:tc>
          <w:tcPr>
            <w:tcW w:type="dxa" w:w="1152"/>
            <w:shd w:val="clear" w:color="auto" w:fill="F5F2EF"/>
          </w:tcPr>
          <w:p>
            <w:pPr>
              <w:spacing w:after="0" w:line="240" w:lineRule="auto"/>
              <w:jc w:val="right"/>
            </w:pPr>
            <w:r>
              <w:rPr>
                <w:b w:val="0"/>
                <w:sz w:val="19"/>
              </w:rPr>
              <w:t>0.806</w:t>
            </w:r>
          </w:p>
        </w:tc>
        <w:tc>
          <w:tcPr>
            <w:tcW w:type="dxa" w:w="1296"/>
            <w:shd w:val="clear" w:color="auto" w:fill="F5F2EF"/>
          </w:tcPr>
          <w:p>
            <w:pPr>
              <w:spacing w:after="0" w:line="240" w:lineRule="auto"/>
              <w:jc w:val="right"/>
            </w:pPr>
            <w:r>
              <w:rPr>
                <w:b w:val="0"/>
                <w:sz w:val="19"/>
              </w:rPr>
              <w:t>0.805</w:t>
            </w:r>
          </w:p>
        </w:tc>
        <w:tc>
          <w:tcPr>
            <w:tcW w:type="dxa" w:w="1440"/>
            <w:shd w:val="clear" w:color="auto" w:fill="F5F2EF"/>
          </w:tcPr>
          <w:p>
            <w:pPr>
              <w:spacing w:after="0" w:line="240" w:lineRule="auto"/>
              <w:jc w:val="right"/>
            </w:pPr>
            <w:r>
              <w:rPr>
                <w:b w:val="0"/>
                <w:sz w:val="19"/>
              </w:rPr>
              <w:t>0.007</w:t>
            </w:r>
          </w:p>
        </w:tc>
      </w:tr>
    </w:tbl>
    <w:p>
      <w:pPr>
        <w:spacing w:after="40" w:line="120" w:lineRule="auto"/>
      </w:pPr>
    </w:p>
    <w:p>
      <w:pPr>
        <w:pStyle w:val="Heading2"/>
      </w:pPr>
      <w:r>
        <w:t>7.2 The model</w:t>
      </w:r>
    </w:p>
    <w:p>
      <w:pPr>
        <w:keepNext/>
        <w:spacing w:before="120" w:after="60"/>
        <w:jc w:val="left"/>
      </w:pPr>
      <w:r>
        <w:rPr>
          <w:b/>
          <w:color w:val="333333"/>
          <w:sz w:val="20"/>
        </w:rPr>
        <w:t>Table 7.2: Model 3 coefficients (dependent variable: Units)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88"/>
        <w:gridCol w:w="1224"/>
        <w:gridCol w:w="1080"/>
        <w:gridCol w:w="1008"/>
        <w:gridCol w:w="936"/>
        <w:gridCol w:w="1008"/>
        <w:gridCol w:w="1728"/>
        <w:gridCol w:w="720"/>
      </w:tblGrid>
      <w:tr>
        <w:trPr>
          <w:tblHeader w:val="true"/>
          <w:cantSplit w:val="true"/>
        </w:trPr>
        <w:tc>
          <w:tcPr>
            <w:tcW w:type="dxa" w:w="2088"/>
            <w:shd w:val="clear" w:color="auto" w:fill="6B1B28"/>
          </w:tcPr>
          <w:p>
            <w:pPr>
              <w:keepNext/>
              <w:spacing w:after="0" w:line="240" w:lineRule="auto"/>
              <w:jc w:val="left"/>
            </w:pPr>
            <w:r>
              <w:rPr>
                <w:b/>
                <w:color w:val="FFFFFF"/>
                <w:sz w:val="18"/>
              </w:rPr>
              <w:t>Variable</w:t>
            </w:r>
          </w:p>
        </w:tc>
        <w:tc>
          <w:tcPr>
            <w:tcW w:type="dxa" w:w="1224"/>
            <w:shd w:val="clear" w:color="auto" w:fill="6B1B28"/>
          </w:tcPr>
          <w:p>
            <w:pPr>
              <w:keepNext/>
              <w:spacing w:after="0" w:line="240" w:lineRule="auto"/>
              <w:jc w:val="right"/>
            </w:pPr>
            <w:r>
              <w:rPr>
                <w:b/>
                <w:color w:val="FFFFFF"/>
                <w:sz w:val="18"/>
              </w:rPr>
              <w:t>Coefficient</w:t>
            </w:r>
          </w:p>
        </w:tc>
        <w:tc>
          <w:tcPr>
            <w:tcW w:type="dxa" w:w="1080"/>
            <w:shd w:val="clear" w:color="auto" w:fill="6B1B28"/>
          </w:tcPr>
          <w:p>
            <w:pPr>
              <w:keepNext/>
              <w:spacing w:after="0" w:line="240" w:lineRule="auto"/>
              <w:jc w:val="right"/>
            </w:pPr>
            <w:r>
              <w:rPr>
                <w:b/>
                <w:color w:val="FFFFFF"/>
                <w:sz w:val="18"/>
              </w:rPr>
              <w:t>Std. error</w:t>
            </w:r>
          </w:p>
        </w:tc>
        <w:tc>
          <w:tcPr>
            <w:tcW w:type="dxa" w:w="1008"/>
            <w:shd w:val="clear" w:color="auto" w:fill="6B1B28"/>
          </w:tcPr>
          <w:p>
            <w:pPr>
              <w:keepNext/>
              <w:spacing w:after="0" w:line="240" w:lineRule="auto"/>
              <w:jc w:val="right"/>
            </w:pPr>
            <w:r>
              <w:rPr>
                <w:b/>
                <w:color w:val="FFFFFF"/>
                <w:sz w:val="18"/>
              </w:rPr>
              <w:t>Std. beta</w:t>
            </w:r>
          </w:p>
        </w:tc>
        <w:tc>
          <w:tcPr>
            <w:tcW w:type="dxa" w:w="936"/>
            <w:shd w:val="clear" w:color="auto" w:fill="6B1B28"/>
          </w:tcPr>
          <w:p>
            <w:pPr>
              <w:keepNext/>
              <w:spacing w:after="0" w:line="240" w:lineRule="auto"/>
              <w:jc w:val="right"/>
            </w:pPr>
            <w:r>
              <w:rPr>
                <w:b/>
                <w:color w:val="FFFFFF"/>
                <w:sz w:val="18"/>
              </w:rPr>
              <w:t>t</w:t>
            </w:r>
          </w:p>
        </w:tc>
        <w:tc>
          <w:tcPr>
            <w:tcW w:type="dxa" w:w="1008"/>
            <w:shd w:val="clear" w:color="auto" w:fill="6B1B28"/>
          </w:tcPr>
          <w:p>
            <w:pPr>
              <w:keepNext/>
              <w:spacing w:after="0" w:line="240" w:lineRule="auto"/>
              <w:jc w:val="right"/>
            </w:pPr>
            <w:r>
              <w:rPr>
                <w:b/>
                <w:color w:val="FFFFFF"/>
                <w:sz w:val="18"/>
              </w:rPr>
              <w:t>p-value</w:t>
            </w:r>
          </w:p>
        </w:tc>
        <w:tc>
          <w:tcPr>
            <w:tcW w:type="dxa" w:w="1728"/>
            <w:shd w:val="clear" w:color="auto" w:fill="6B1B28"/>
          </w:tcPr>
          <w:p>
            <w:pPr>
              <w:keepNext/>
              <w:spacing w:after="0" w:line="240" w:lineRule="auto"/>
              <w:jc w:val="right"/>
            </w:pPr>
            <w:r>
              <w:rPr>
                <w:b/>
                <w:color w:val="FFFFFF"/>
                <w:sz w:val="18"/>
              </w:rPr>
              <w:t>95% interval</w:t>
            </w:r>
          </w:p>
        </w:tc>
        <w:tc>
          <w:tcPr>
            <w:tcW w:type="dxa" w:w="720"/>
            <w:shd w:val="clear" w:color="auto" w:fill="6B1B28"/>
          </w:tcPr>
          <w:p>
            <w:pPr>
              <w:keepNext/>
              <w:spacing w:after="0" w:line="240" w:lineRule="auto"/>
              <w:jc w:val="right"/>
            </w:pPr>
            <w:r>
              <w:rPr>
                <w:b/>
                <w:color w:val="FFFFFF"/>
                <w:sz w:val="18"/>
              </w:rPr>
              <w:t>VIF</w:t>
            </w:r>
          </w:p>
        </w:tc>
      </w:tr>
      <w:tr>
        <w:trPr>
          <w:cantSplit w:val="true"/>
        </w:trPr>
        <w:tc>
          <w:tcPr>
            <w:tcW w:type="dxa" w:w="2088"/>
          </w:tcPr>
          <w:p>
            <w:pPr>
              <w:keepNext/>
              <w:spacing w:after="0" w:line="240" w:lineRule="auto"/>
              <w:jc w:val="left"/>
            </w:pPr>
            <w:r>
              <w:rPr>
                <w:b w:val="0"/>
                <w:sz w:val="18"/>
              </w:rPr>
              <w:t>Intercept</w:t>
            </w:r>
          </w:p>
        </w:tc>
        <w:tc>
          <w:tcPr>
            <w:tcW w:type="dxa" w:w="1224"/>
          </w:tcPr>
          <w:p>
            <w:pPr>
              <w:keepNext/>
              <w:spacing w:after="0" w:line="240" w:lineRule="auto"/>
              <w:jc w:val="right"/>
            </w:pPr>
            <w:r>
              <w:rPr>
                <w:b w:val="0"/>
                <w:sz w:val="18"/>
              </w:rPr>
              <w:t>276.58</w:t>
            </w:r>
          </w:p>
        </w:tc>
        <w:tc>
          <w:tcPr>
            <w:tcW w:type="dxa" w:w="1080"/>
          </w:tcPr>
          <w:p>
            <w:pPr>
              <w:keepNext/>
              <w:spacing w:after="0" w:line="240" w:lineRule="auto"/>
              <w:jc w:val="right"/>
            </w:pPr>
            <w:r>
              <w:rPr>
                <w:b w:val="0"/>
                <w:sz w:val="18"/>
              </w:rPr>
              <w:t>12.16</w:t>
            </w:r>
          </w:p>
        </w:tc>
        <w:tc>
          <w:tcPr>
            <w:tcW w:type="dxa" w:w="1008"/>
          </w:tcPr>
          <w:p>
            <w:pPr>
              <w:keepNext/>
              <w:spacing w:after="0" w:line="240" w:lineRule="auto"/>
              <w:jc w:val="right"/>
            </w:pPr>
          </w:p>
        </w:tc>
        <w:tc>
          <w:tcPr>
            <w:tcW w:type="dxa" w:w="936"/>
          </w:tcPr>
          <w:p>
            <w:pPr>
              <w:keepNext/>
              <w:spacing w:after="0" w:line="240" w:lineRule="auto"/>
              <w:jc w:val="right"/>
            </w:pPr>
            <w:r>
              <w:rPr>
                <w:b w:val="0"/>
                <w:sz w:val="18"/>
              </w:rPr>
              <w:t>22.74</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252.7 to 300.4</w:t>
            </w:r>
          </w:p>
        </w:tc>
        <w:tc>
          <w:tcPr>
            <w:tcW w:type="dxa" w:w="720"/>
          </w:tcPr>
          <w:p>
            <w:pPr>
              <w:keepNext/>
              <w:spacing w:after="0" w:line="240" w:lineRule="auto"/>
              <w:jc w:val="right"/>
            </w:pPr>
          </w:p>
        </w:tc>
      </w:tr>
      <w:tr>
        <w:trPr>
          <w:cantSplit w:val="true"/>
        </w:trPr>
        <w:tc>
          <w:tcPr>
            <w:tcW w:type="dxa" w:w="2088"/>
            <w:shd w:val="clear" w:color="auto" w:fill="F5F2EF"/>
          </w:tcPr>
          <w:p>
            <w:pPr>
              <w:keepNext/>
              <w:spacing w:after="0" w:line="240" w:lineRule="auto"/>
              <w:jc w:val="left"/>
            </w:pPr>
            <w:r>
              <w:rPr>
                <w:b w:val="0"/>
                <w:sz w:val="18"/>
              </w:rPr>
              <w:t>Endcap × Sales Rep</w:t>
            </w:r>
          </w:p>
        </w:tc>
        <w:tc>
          <w:tcPr>
            <w:tcW w:type="dxa" w:w="1224"/>
            <w:shd w:val="clear" w:color="auto" w:fill="F5F2EF"/>
          </w:tcPr>
          <w:p>
            <w:pPr>
              <w:keepNext/>
              <w:spacing w:after="0" w:line="240" w:lineRule="auto"/>
              <w:jc w:val="right"/>
            </w:pPr>
            <w:r>
              <w:rPr>
                <w:b w:val="0"/>
                <w:sz w:val="18"/>
              </w:rPr>
              <w:t>454.42</w:t>
            </w:r>
          </w:p>
        </w:tc>
        <w:tc>
          <w:tcPr>
            <w:tcW w:type="dxa" w:w="1080"/>
            <w:shd w:val="clear" w:color="auto" w:fill="F5F2EF"/>
          </w:tcPr>
          <w:p>
            <w:pPr>
              <w:keepNext/>
              <w:spacing w:after="0" w:line="240" w:lineRule="auto"/>
              <w:jc w:val="right"/>
            </w:pPr>
            <w:r>
              <w:rPr>
                <w:b w:val="0"/>
                <w:sz w:val="18"/>
              </w:rPr>
              <w:t>8.47</w:t>
            </w:r>
          </w:p>
        </w:tc>
        <w:tc>
          <w:tcPr>
            <w:tcW w:type="dxa" w:w="1008"/>
            <w:shd w:val="clear" w:color="auto" w:fill="F5F2EF"/>
          </w:tcPr>
          <w:p>
            <w:pPr>
              <w:keepNext/>
              <w:spacing w:after="0" w:line="240" w:lineRule="auto"/>
              <w:jc w:val="right"/>
            </w:pPr>
            <w:r>
              <w:rPr>
                <w:b w:val="0"/>
                <w:sz w:val="18"/>
              </w:rPr>
              <w:t>0.651</w:t>
            </w:r>
          </w:p>
        </w:tc>
        <w:tc>
          <w:tcPr>
            <w:tcW w:type="dxa" w:w="936"/>
            <w:shd w:val="clear" w:color="auto" w:fill="F5F2EF"/>
          </w:tcPr>
          <w:p>
            <w:pPr>
              <w:keepNext/>
              <w:spacing w:after="0" w:line="240" w:lineRule="auto"/>
              <w:jc w:val="right"/>
            </w:pPr>
            <w:r>
              <w:rPr>
                <w:b w:val="0"/>
                <w:sz w:val="18"/>
              </w:rPr>
              <w:t>53.67</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437.8 to 471.0</w:t>
            </w:r>
          </w:p>
        </w:tc>
        <w:tc>
          <w:tcPr>
            <w:tcW w:type="dxa" w:w="720"/>
            <w:shd w:val="clear" w:color="auto" w:fill="F5F2EF"/>
          </w:tcPr>
          <w:p>
            <w:pPr>
              <w:keepNext/>
              <w:spacing w:after="0" w:line="240" w:lineRule="auto"/>
              <w:jc w:val="right"/>
            </w:pPr>
            <w:r>
              <w:rPr>
                <w:b w:val="0"/>
                <w:sz w:val="18"/>
              </w:rPr>
              <w:t>1.05</w:t>
            </w:r>
          </w:p>
        </w:tc>
      </w:tr>
      <w:tr>
        <w:trPr>
          <w:cantSplit w:val="true"/>
        </w:trPr>
        <w:tc>
          <w:tcPr>
            <w:tcW w:type="dxa" w:w="2088"/>
          </w:tcPr>
          <w:p>
            <w:pPr>
              <w:keepNext/>
              <w:spacing w:after="0" w:line="240" w:lineRule="auto"/>
              <w:jc w:val="left"/>
            </w:pPr>
            <w:r>
              <w:rPr>
                <w:b w:val="0"/>
                <w:sz w:val="18"/>
              </w:rPr>
              <w:t>Sales Rep</w:t>
            </w:r>
          </w:p>
        </w:tc>
        <w:tc>
          <w:tcPr>
            <w:tcW w:type="dxa" w:w="1224"/>
          </w:tcPr>
          <w:p>
            <w:pPr>
              <w:keepNext/>
              <w:spacing w:after="0" w:line="240" w:lineRule="auto"/>
              <w:jc w:val="right"/>
            </w:pPr>
            <w:r>
              <w:rPr>
                <w:b w:val="0"/>
                <w:sz w:val="18"/>
              </w:rPr>
              <w:t>59.44</w:t>
            </w:r>
          </w:p>
        </w:tc>
        <w:tc>
          <w:tcPr>
            <w:tcW w:type="dxa" w:w="1080"/>
          </w:tcPr>
          <w:p>
            <w:pPr>
              <w:keepNext/>
              <w:spacing w:after="0" w:line="240" w:lineRule="auto"/>
              <w:jc w:val="right"/>
            </w:pPr>
            <w:r>
              <w:rPr>
                <w:b w:val="0"/>
                <w:sz w:val="18"/>
              </w:rPr>
              <w:t>2.99</w:t>
            </w:r>
          </w:p>
        </w:tc>
        <w:tc>
          <w:tcPr>
            <w:tcW w:type="dxa" w:w="1008"/>
          </w:tcPr>
          <w:p>
            <w:pPr>
              <w:keepNext/>
              <w:spacing w:after="0" w:line="240" w:lineRule="auto"/>
              <w:jc w:val="right"/>
            </w:pPr>
            <w:r>
              <w:rPr>
                <w:b w:val="0"/>
                <w:sz w:val="18"/>
              </w:rPr>
              <w:t>0.267</w:t>
            </w:r>
          </w:p>
        </w:tc>
        <w:tc>
          <w:tcPr>
            <w:tcW w:type="dxa" w:w="936"/>
          </w:tcPr>
          <w:p>
            <w:pPr>
              <w:keepNext/>
              <w:spacing w:after="0" w:line="240" w:lineRule="auto"/>
              <w:jc w:val="right"/>
            </w:pPr>
            <w:r>
              <w:rPr>
                <w:b w:val="0"/>
                <w:sz w:val="18"/>
              </w:rPr>
              <w:t>19.91</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53.6 to 65.3</w:t>
            </w:r>
          </w:p>
        </w:tc>
        <w:tc>
          <w:tcPr>
            <w:tcW w:type="dxa" w:w="720"/>
          </w:tcPr>
          <w:p>
            <w:pPr>
              <w:keepNext/>
              <w:spacing w:after="0" w:line="240" w:lineRule="auto"/>
              <w:jc w:val="right"/>
            </w:pPr>
            <w:r>
              <w:rPr>
                <w:b w:val="0"/>
                <w:sz w:val="18"/>
              </w:rPr>
              <w:t>1.27</w:t>
            </w:r>
          </w:p>
        </w:tc>
      </w:tr>
      <w:tr>
        <w:trPr>
          <w:cantSplit w:val="true"/>
        </w:trPr>
        <w:tc>
          <w:tcPr>
            <w:tcW w:type="dxa" w:w="2088"/>
            <w:shd w:val="clear" w:color="auto" w:fill="F5F2EF"/>
          </w:tcPr>
          <w:p>
            <w:pPr>
              <w:keepNext/>
              <w:spacing w:after="0" w:line="240" w:lineRule="auto"/>
              <w:jc w:val="left"/>
            </w:pPr>
            <w:r>
              <w:rPr>
                <w:b w:val="0"/>
                <w:sz w:val="18"/>
              </w:rPr>
              <w:t>Demo</w:t>
            </w:r>
          </w:p>
        </w:tc>
        <w:tc>
          <w:tcPr>
            <w:tcW w:type="dxa" w:w="1224"/>
            <w:shd w:val="clear" w:color="auto" w:fill="F5F2EF"/>
          </w:tcPr>
          <w:p>
            <w:pPr>
              <w:keepNext/>
              <w:spacing w:after="0" w:line="240" w:lineRule="auto"/>
              <w:jc w:val="right"/>
            </w:pPr>
            <w:r>
              <w:rPr>
                <w:b w:val="0"/>
                <w:sz w:val="18"/>
              </w:rPr>
              <w:t>106.76</w:t>
            </w:r>
          </w:p>
        </w:tc>
        <w:tc>
          <w:tcPr>
            <w:tcW w:type="dxa" w:w="1080"/>
            <w:shd w:val="clear" w:color="auto" w:fill="F5F2EF"/>
          </w:tcPr>
          <w:p>
            <w:pPr>
              <w:keepNext/>
              <w:spacing w:after="0" w:line="240" w:lineRule="auto"/>
              <w:jc w:val="right"/>
            </w:pPr>
            <w:r>
              <w:rPr>
                <w:b w:val="0"/>
                <w:sz w:val="18"/>
              </w:rPr>
              <w:t>5.70</w:t>
            </w:r>
          </w:p>
        </w:tc>
        <w:tc>
          <w:tcPr>
            <w:tcW w:type="dxa" w:w="1008"/>
            <w:shd w:val="clear" w:color="auto" w:fill="F5F2EF"/>
          </w:tcPr>
          <w:p>
            <w:pPr>
              <w:keepNext/>
              <w:spacing w:after="0" w:line="240" w:lineRule="auto"/>
              <w:jc w:val="right"/>
            </w:pPr>
            <w:r>
              <w:rPr>
                <w:b w:val="0"/>
                <w:sz w:val="18"/>
              </w:rPr>
              <w:t>0.226</w:t>
            </w:r>
          </w:p>
        </w:tc>
        <w:tc>
          <w:tcPr>
            <w:tcW w:type="dxa" w:w="936"/>
            <w:shd w:val="clear" w:color="auto" w:fill="F5F2EF"/>
          </w:tcPr>
          <w:p>
            <w:pPr>
              <w:keepNext/>
              <w:spacing w:after="0" w:line="240" w:lineRule="auto"/>
              <w:jc w:val="right"/>
            </w:pPr>
            <w:r>
              <w:rPr>
                <w:b w:val="0"/>
                <w:sz w:val="18"/>
              </w:rPr>
              <w:t>18.74</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95.6 to 117.9</w:t>
            </w:r>
          </w:p>
        </w:tc>
        <w:tc>
          <w:tcPr>
            <w:tcW w:type="dxa" w:w="720"/>
            <w:shd w:val="clear" w:color="auto" w:fill="F5F2EF"/>
          </w:tcPr>
          <w:p>
            <w:pPr>
              <w:keepNext/>
              <w:spacing w:after="0" w:line="240" w:lineRule="auto"/>
              <w:jc w:val="right"/>
            </w:pPr>
            <w:r>
              <w:rPr>
                <w:b w:val="0"/>
                <w:sz w:val="18"/>
              </w:rPr>
              <w:t>1.03</w:t>
            </w:r>
          </w:p>
        </w:tc>
      </w:tr>
      <w:tr>
        <w:trPr>
          <w:cantSplit w:val="true"/>
        </w:trPr>
        <w:tc>
          <w:tcPr>
            <w:tcW w:type="dxa" w:w="2088"/>
          </w:tcPr>
          <w:p>
            <w:pPr>
              <w:keepNext/>
              <w:spacing w:after="0" w:line="240" w:lineRule="auto"/>
              <w:jc w:val="left"/>
            </w:pPr>
            <w:r>
              <w:rPr>
                <w:b w:val="0"/>
                <w:sz w:val="18"/>
              </w:rPr>
              <w:t>Demo1-3</w:t>
            </w:r>
          </w:p>
        </w:tc>
        <w:tc>
          <w:tcPr>
            <w:tcW w:type="dxa" w:w="1224"/>
          </w:tcPr>
          <w:p>
            <w:pPr>
              <w:keepNext/>
              <w:spacing w:after="0" w:line="240" w:lineRule="auto"/>
              <w:jc w:val="right"/>
            </w:pPr>
            <w:r>
              <w:rPr>
                <w:b w:val="0"/>
                <w:sz w:val="18"/>
              </w:rPr>
              <w:t>73.38</w:t>
            </w:r>
          </w:p>
        </w:tc>
        <w:tc>
          <w:tcPr>
            <w:tcW w:type="dxa" w:w="1080"/>
          </w:tcPr>
          <w:p>
            <w:pPr>
              <w:keepNext/>
              <w:spacing w:after="0" w:line="240" w:lineRule="auto"/>
              <w:jc w:val="right"/>
            </w:pPr>
            <w:r>
              <w:rPr>
                <w:b w:val="0"/>
                <w:sz w:val="18"/>
              </w:rPr>
              <w:t>3.76</w:t>
            </w:r>
          </w:p>
        </w:tc>
        <w:tc>
          <w:tcPr>
            <w:tcW w:type="dxa" w:w="1008"/>
          </w:tcPr>
          <w:p>
            <w:pPr>
              <w:keepNext/>
              <w:spacing w:after="0" w:line="240" w:lineRule="auto"/>
              <w:jc w:val="right"/>
            </w:pPr>
            <w:r>
              <w:rPr>
                <w:b w:val="0"/>
                <w:sz w:val="18"/>
              </w:rPr>
              <w:t>0.240</w:t>
            </w:r>
          </w:p>
        </w:tc>
        <w:tc>
          <w:tcPr>
            <w:tcW w:type="dxa" w:w="936"/>
          </w:tcPr>
          <w:p>
            <w:pPr>
              <w:keepNext/>
              <w:spacing w:after="0" w:line="240" w:lineRule="auto"/>
              <w:jc w:val="right"/>
            </w:pPr>
            <w:r>
              <w:rPr>
                <w:b w:val="0"/>
                <w:sz w:val="18"/>
              </w:rPr>
              <w:t>19.51</w:t>
            </w:r>
          </w:p>
        </w:tc>
        <w:tc>
          <w:tcPr>
            <w:tcW w:type="dxa" w:w="1008"/>
          </w:tcPr>
          <w:p>
            <w:pPr>
              <w:keepNext/>
              <w:spacing w:after="0" w:line="240" w:lineRule="auto"/>
              <w:jc w:val="right"/>
            </w:pPr>
            <w:r>
              <w:rPr>
                <w:b w:val="0"/>
                <w:sz w:val="18"/>
              </w:rPr>
              <w:t>&lt;0.001</w:t>
            </w:r>
          </w:p>
        </w:tc>
        <w:tc>
          <w:tcPr>
            <w:tcW w:type="dxa" w:w="1728"/>
          </w:tcPr>
          <w:p>
            <w:pPr>
              <w:keepNext/>
              <w:spacing w:after="0" w:line="240" w:lineRule="auto"/>
              <w:jc w:val="right"/>
            </w:pPr>
            <w:r>
              <w:rPr>
                <w:b w:val="0"/>
                <w:sz w:val="18"/>
              </w:rPr>
              <w:t>66.0 to 80.8</w:t>
            </w:r>
          </w:p>
        </w:tc>
        <w:tc>
          <w:tcPr>
            <w:tcW w:type="dxa" w:w="720"/>
          </w:tcPr>
          <w:p>
            <w:pPr>
              <w:keepNext/>
              <w:spacing w:after="0" w:line="240" w:lineRule="auto"/>
              <w:jc w:val="right"/>
            </w:pPr>
            <w:r>
              <w:rPr>
                <w:b w:val="0"/>
                <w:sz w:val="18"/>
              </w:rPr>
              <w:t>1.08</w:t>
            </w:r>
          </w:p>
        </w:tc>
      </w:tr>
      <w:tr>
        <w:trPr>
          <w:cantSplit w:val="true"/>
        </w:trPr>
        <w:tc>
          <w:tcPr>
            <w:tcW w:type="dxa" w:w="2088"/>
            <w:shd w:val="clear" w:color="auto" w:fill="F5F2EF"/>
          </w:tcPr>
          <w:p>
            <w:pPr>
              <w:keepNext/>
              <w:spacing w:after="0" w:line="240" w:lineRule="auto"/>
              <w:jc w:val="left"/>
            </w:pPr>
            <w:r>
              <w:rPr>
                <w:b w:val="0"/>
                <w:sz w:val="18"/>
              </w:rPr>
              <w:t>Demo4-5</w:t>
            </w:r>
          </w:p>
        </w:tc>
        <w:tc>
          <w:tcPr>
            <w:tcW w:type="dxa" w:w="1224"/>
            <w:shd w:val="clear" w:color="auto" w:fill="F5F2EF"/>
          </w:tcPr>
          <w:p>
            <w:pPr>
              <w:keepNext/>
              <w:spacing w:after="0" w:line="240" w:lineRule="auto"/>
              <w:jc w:val="right"/>
            </w:pPr>
            <w:r>
              <w:rPr>
                <w:b w:val="0"/>
                <w:sz w:val="18"/>
              </w:rPr>
              <w:t>74.56</w:t>
            </w:r>
          </w:p>
        </w:tc>
        <w:tc>
          <w:tcPr>
            <w:tcW w:type="dxa" w:w="1080"/>
            <w:shd w:val="clear" w:color="auto" w:fill="F5F2EF"/>
          </w:tcPr>
          <w:p>
            <w:pPr>
              <w:keepNext/>
              <w:spacing w:after="0" w:line="240" w:lineRule="auto"/>
              <w:jc w:val="right"/>
            </w:pPr>
            <w:r>
              <w:rPr>
                <w:b w:val="0"/>
                <w:sz w:val="18"/>
              </w:rPr>
              <w:t>5.03</w:t>
            </w:r>
          </w:p>
        </w:tc>
        <w:tc>
          <w:tcPr>
            <w:tcW w:type="dxa" w:w="1008"/>
            <w:shd w:val="clear" w:color="auto" w:fill="F5F2EF"/>
          </w:tcPr>
          <w:p>
            <w:pPr>
              <w:keepNext/>
              <w:spacing w:after="0" w:line="240" w:lineRule="auto"/>
              <w:jc w:val="right"/>
            </w:pPr>
            <w:r>
              <w:rPr>
                <w:b w:val="0"/>
                <w:sz w:val="18"/>
              </w:rPr>
              <w:t>0.178</w:t>
            </w:r>
          </w:p>
        </w:tc>
        <w:tc>
          <w:tcPr>
            <w:tcW w:type="dxa" w:w="936"/>
            <w:shd w:val="clear" w:color="auto" w:fill="F5F2EF"/>
          </w:tcPr>
          <w:p>
            <w:pPr>
              <w:keepNext/>
              <w:spacing w:after="0" w:line="240" w:lineRule="auto"/>
              <w:jc w:val="right"/>
            </w:pPr>
            <w:r>
              <w:rPr>
                <w:b w:val="0"/>
                <w:sz w:val="18"/>
              </w:rPr>
              <w:t>14.81</w:t>
            </w:r>
          </w:p>
        </w:tc>
        <w:tc>
          <w:tcPr>
            <w:tcW w:type="dxa" w:w="1008"/>
            <w:shd w:val="clear" w:color="auto" w:fill="F5F2EF"/>
          </w:tcPr>
          <w:p>
            <w:pPr>
              <w:keepNext/>
              <w:spacing w:after="0" w:line="240" w:lineRule="auto"/>
              <w:jc w:val="right"/>
            </w:pPr>
            <w:r>
              <w:rPr>
                <w:b w:val="0"/>
                <w:sz w:val="18"/>
              </w:rPr>
              <w:t>&lt;0.001</w:t>
            </w:r>
          </w:p>
        </w:tc>
        <w:tc>
          <w:tcPr>
            <w:tcW w:type="dxa" w:w="1728"/>
            <w:shd w:val="clear" w:color="auto" w:fill="F5F2EF"/>
          </w:tcPr>
          <w:p>
            <w:pPr>
              <w:keepNext/>
              <w:spacing w:after="0" w:line="240" w:lineRule="auto"/>
              <w:jc w:val="right"/>
            </w:pPr>
            <w:r>
              <w:rPr>
                <w:b w:val="0"/>
                <w:sz w:val="18"/>
              </w:rPr>
              <w:t>64.7 to 84.4</w:t>
            </w:r>
          </w:p>
        </w:tc>
        <w:tc>
          <w:tcPr>
            <w:tcW w:type="dxa" w:w="720"/>
            <w:shd w:val="clear" w:color="auto" w:fill="F5F2EF"/>
          </w:tcPr>
          <w:p>
            <w:pPr>
              <w:keepNext/>
              <w:spacing w:after="0" w:line="240" w:lineRule="auto"/>
              <w:jc w:val="right"/>
            </w:pPr>
            <w:r>
              <w:rPr>
                <w:b w:val="0"/>
                <w:sz w:val="18"/>
              </w:rPr>
              <w:t>1.02</w:t>
            </w:r>
          </w:p>
        </w:tc>
      </w:tr>
      <w:tr>
        <w:trPr>
          <w:cantSplit w:val="true"/>
        </w:trPr>
        <w:tc>
          <w:tcPr>
            <w:tcW w:type="dxa" w:w="2088"/>
          </w:tcPr>
          <w:p>
            <w:pPr>
              <w:spacing w:after="0" w:line="240" w:lineRule="auto"/>
              <w:jc w:val="left"/>
            </w:pPr>
            <w:r>
              <w:rPr>
                <w:b w:val="0"/>
                <w:sz w:val="18"/>
              </w:rPr>
              <w:t>Price</w:t>
            </w:r>
          </w:p>
        </w:tc>
        <w:tc>
          <w:tcPr>
            <w:tcW w:type="dxa" w:w="1224"/>
          </w:tcPr>
          <w:p>
            <w:pPr>
              <w:spacing w:after="0" w:line="240" w:lineRule="auto"/>
              <w:jc w:val="right"/>
            </w:pPr>
            <w:r>
              <w:rPr>
                <w:b w:val="0"/>
                <w:sz w:val="18"/>
              </w:rPr>
              <w:t>−22.06</w:t>
            </w:r>
          </w:p>
        </w:tc>
        <w:tc>
          <w:tcPr>
            <w:tcW w:type="dxa" w:w="1080"/>
          </w:tcPr>
          <w:p>
            <w:pPr>
              <w:spacing w:after="0" w:line="240" w:lineRule="auto"/>
              <w:jc w:val="right"/>
            </w:pPr>
            <w:r>
              <w:rPr>
                <w:b w:val="0"/>
                <w:sz w:val="18"/>
              </w:rPr>
              <w:t>3.04</w:t>
            </w:r>
          </w:p>
        </w:tc>
        <w:tc>
          <w:tcPr>
            <w:tcW w:type="dxa" w:w="1008"/>
          </w:tcPr>
          <w:p>
            <w:pPr>
              <w:spacing w:after="0" w:line="240" w:lineRule="auto"/>
              <w:jc w:val="right"/>
            </w:pPr>
            <w:r>
              <w:rPr>
                <w:b w:val="0"/>
                <w:sz w:val="18"/>
              </w:rPr>
              <w:t>−0.092</w:t>
            </w:r>
          </w:p>
        </w:tc>
        <w:tc>
          <w:tcPr>
            <w:tcW w:type="dxa" w:w="936"/>
          </w:tcPr>
          <w:p>
            <w:pPr>
              <w:spacing w:after="0" w:line="240" w:lineRule="auto"/>
              <w:jc w:val="right"/>
            </w:pPr>
            <w:r>
              <w:rPr>
                <w:b w:val="0"/>
                <w:sz w:val="18"/>
              </w:rPr>
              <w:t>−7.25</w:t>
            </w:r>
          </w:p>
        </w:tc>
        <w:tc>
          <w:tcPr>
            <w:tcW w:type="dxa" w:w="1008"/>
          </w:tcPr>
          <w:p>
            <w:pPr>
              <w:spacing w:after="0" w:line="240" w:lineRule="auto"/>
              <w:jc w:val="right"/>
            </w:pPr>
            <w:r>
              <w:rPr>
                <w:b w:val="0"/>
                <w:sz w:val="18"/>
              </w:rPr>
              <w:t>&lt;0.001</w:t>
            </w:r>
          </w:p>
        </w:tc>
        <w:tc>
          <w:tcPr>
            <w:tcW w:type="dxa" w:w="1728"/>
          </w:tcPr>
          <w:p>
            <w:pPr>
              <w:spacing w:after="0" w:line="240" w:lineRule="auto"/>
              <w:jc w:val="right"/>
            </w:pPr>
            <w:r>
              <w:rPr>
                <w:b w:val="0"/>
                <w:sz w:val="18"/>
              </w:rPr>
              <w:t>−28.0 to −16.1</w:t>
            </w:r>
          </w:p>
        </w:tc>
        <w:tc>
          <w:tcPr>
            <w:tcW w:type="dxa" w:w="720"/>
          </w:tcPr>
          <w:p>
            <w:pPr>
              <w:spacing w:after="0" w:line="240" w:lineRule="auto"/>
              <w:jc w:val="right"/>
            </w:pPr>
            <w:r>
              <w:rPr>
                <w:b w:val="0"/>
                <w:sz w:val="18"/>
              </w:rPr>
              <w:t>1.15</w:t>
            </w:r>
          </w:p>
        </w:tc>
      </w:tr>
    </w:tbl>
    <w:p>
      <w:pPr>
        <w:spacing w:after="40" w:line="120" w:lineRule="auto"/>
      </w:pPr>
    </w:p>
    <w:p>
      <w:pPr>
        <w:spacing w:after="120"/>
        <w:jc w:val="center"/>
      </w:pPr>
      <w:r>
        <w:rPr>
          <w:b w:val="0"/>
          <w:i/>
          <w:sz w:val="21"/>
        </w:rPr>
        <w:t>Units = 276.58 + 454.42 (Endcap × Sales Rep) + 59.44 Sales Rep + 106.76 Demo + 73.38 Demo1-3 + 74.56 Demo4-5 − 22.06 Price</w:t>
      </w:r>
    </w:p>
    <w:p>
      <w:r>
        <w:rPr>
          <w:b w:val="0"/>
        </w:rPr>
        <w:t>Model 3 is significant (F = 954.0, p &lt; 0.001) and explains 80.6% of the variation in weekly sales, up from 67.3% for Model 1. The standard error falls from 63.7 to 49.0 units, and all six coefficients are significant at the 1% level. The ranking by standardised beta is Endcap × Sales Rep (0.65), Sales Rep (0.27), Demo1-3 (0.24), Demo (0.23), Demo4-5 (0.18) and Price (−0.09).</w:t>
      </w:r>
    </w:p>
    <w:p>
      <w:pPr>
        <w:pStyle w:val="Heading2"/>
      </w:pPr>
      <w:r>
        <w:t>7.3 Assumption checks for Model 3</w:t>
      </w:r>
    </w:p>
    <w:p>
      <w:pPr>
        <w:keepNext/>
        <w:spacing w:after="20"/>
        <w:jc w:val="center"/>
      </w:pPr>
      <w:r>
        <w:drawing>
          <wp:inline xmlns:a="http://schemas.openxmlformats.org/drawingml/2006/main" xmlns:pic="http://schemas.openxmlformats.org/drawingml/2006/picture">
            <wp:extent cx="5120640" cy="3950208"/>
            <wp:docPr id="5" name="Picture 5"/>
            <wp:cNvGraphicFramePr>
              <a:graphicFrameLocks noChangeAspect="1"/>
            </wp:cNvGraphicFramePr>
            <a:graphic>
              <a:graphicData uri="http://schemas.openxmlformats.org/drawingml/2006/picture">
                <pic:pic>
                  <pic:nvPicPr>
                    <pic:cNvPr id="0" name="diag_final.png"/>
                    <pic:cNvPicPr/>
                  </pic:nvPicPr>
                  <pic:blipFill>
                    <a:blip r:embed="rId14"/>
                    <a:stretch>
                      <a:fillRect/>
                    </a:stretch>
                  </pic:blipFill>
                  <pic:spPr>
                    <a:xfrm>
                      <a:off x="0" y="0"/>
                      <a:ext cx="5120640" cy="3950208"/>
                    </a:xfrm>
                    <a:prstGeom prst="rect"/>
                  </pic:spPr>
                </pic:pic>
              </a:graphicData>
            </a:graphic>
          </wp:inline>
        </w:drawing>
      </w:r>
    </w:p>
    <w:p>
      <w:pPr>
        <w:spacing w:after="160"/>
        <w:jc w:val="center"/>
      </w:pPr>
      <w:r>
        <w:rPr>
          <w:b/>
          <w:color w:val="333333"/>
          <w:sz w:val="20"/>
        </w:rPr>
        <w:t>Figure 7.1: Residual diagnostics for Model 3</w:t>
      </w:r>
    </w:p>
    <w:p>
      <w:r>
        <w:rPr>
          <w:b w:val="0"/>
        </w:rPr>
        <w:t xml:space="preserve">The two separated groups of residuals have disappeared. The residuals now form an even band around zero at every predicted value, including the endcap weeks, which sit at predicted values of roughly 680 to 960 and are scattered above and below the line like the rest. The residual standard deviation is 49 for weeks without an endcap and 43 for weeks with one (it was 50 and 209 in Model 1), so linearity and constant variance are </w:t>
      </w:r>
      <w:r>
        <w:rPr>
          <w:b/>
        </w:rPr>
        <w:t>satisfied</w:t>
      </w:r>
      <w:r>
        <w:rPr>
          <w:b w:val="0"/>
        </w:rPr>
        <w:t xml:space="preserve">. The Durbin-Watson statistic is 2.11, so independence is </w:t>
      </w:r>
      <w:r>
        <w:rPr>
          <w:b/>
        </w:rPr>
        <w:t>satisfied</w:t>
      </w:r>
      <w:r>
        <w:rPr>
          <w:b w:val="0"/>
        </w:rPr>
        <w:t xml:space="preserve"> on this evidence; the data are still repeated weekly readings of the same stores, so this is a reading of the diagnostics and not a formal proof. The P-P and Q-Q plots follow the diagonal along the whole range, the standardised residuals run from −3.4 to +3.7 (against −5.8 in Model 1), skewness is −0.01 and kurtosis is 3.05. Only 5 residuals exceed ±3 standard deviations, close to what chance gives, and none of them is an endcap week. Normality is </w:t>
      </w:r>
      <w:r>
        <w:rPr>
          <w:b/>
        </w:rPr>
        <w:t>satisfied</w:t>
      </w:r>
      <w:r>
        <w:rPr>
          <w:b w:val="0"/>
        </w:rPr>
        <w:t>. The largest Cook’s distance is 0.024, so no single observation drives the result.</w:t>
      </w:r>
    </w:p>
    <w:p>
      <w:pPr>
        <w:keepNext/>
        <w:spacing w:before="120" w:after="60"/>
        <w:jc w:val="left"/>
      </w:pPr>
      <w:r>
        <w:rPr>
          <w:b/>
          <w:color w:val="333333"/>
          <w:sz w:val="20"/>
        </w:rPr>
        <w:t>Table 7.3: The three models compared</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3744"/>
        <w:gridCol w:w="1728"/>
        <w:gridCol w:w="2160"/>
        <w:gridCol w:w="1584"/>
      </w:tblGrid>
      <w:tr>
        <w:trPr>
          <w:tblHeader w:val="true"/>
          <w:cantSplit w:val="true"/>
        </w:trPr>
        <w:tc>
          <w:tcPr>
            <w:tcW w:type="dxa" w:w="3744"/>
            <w:shd w:val="clear" w:color="auto" w:fill="6B1B28"/>
          </w:tcPr>
          <w:p>
            <w:pPr>
              <w:keepNext/>
              <w:spacing w:after="0" w:line="240" w:lineRule="auto"/>
              <w:jc w:val="left"/>
            </w:pPr>
            <w:r>
              <w:rPr>
                <w:b/>
                <w:color w:val="FFFFFF"/>
                <w:sz w:val="19"/>
              </w:rPr>
              <w:t>Check</w:t>
            </w:r>
          </w:p>
        </w:tc>
        <w:tc>
          <w:tcPr>
            <w:tcW w:type="dxa" w:w="1728"/>
            <w:shd w:val="clear" w:color="auto" w:fill="6B1B28"/>
          </w:tcPr>
          <w:p>
            <w:pPr>
              <w:keepNext/>
              <w:spacing w:after="0" w:line="240" w:lineRule="auto"/>
              <w:jc w:val="right"/>
            </w:pPr>
            <w:r>
              <w:rPr>
                <w:b/>
                <w:color w:val="FFFFFF"/>
                <w:sz w:val="19"/>
              </w:rPr>
              <w:t>Model 1</w:t>
            </w:r>
          </w:p>
        </w:tc>
        <w:tc>
          <w:tcPr>
            <w:tcW w:type="dxa" w:w="2160"/>
            <w:shd w:val="clear" w:color="auto" w:fill="6B1B28"/>
          </w:tcPr>
          <w:p>
            <w:pPr>
              <w:keepNext/>
              <w:spacing w:after="0" w:line="240" w:lineRule="auto"/>
              <w:jc w:val="right"/>
            </w:pPr>
            <w:r>
              <w:rPr>
                <w:b/>
                <w:color w:val="FFFFFF"/>
                <w:sz w:val="19"/>
              </w:rPr>
              <w:t>Model 2 (log)</w:t>
            </w:r>
          </w:p>
        </w:tc>
        <w:tc>
          <w:tcPr>
            <w:tcW w:type="dxa" w:w="1584"/>
            <w:shd w:val="clear" w:color="auto" w:fill="6B1B28"/>
          </w:tcPr>
          <w:p>
            <w:pPr>
              <w:keepNext/>
              <w:spacing w:after="0" w:line="240" w:lineRule="auto"/>
              <w:jc w:val="right"/>
            </w:pPr>
            <w:r>
              <w:rPr>
                <w:b/>
                <w:color w:val="FFFFFF"/>
                <w:sz w:val="19"/>
              </w:rPr>
              <w:t>Model 3</w:t>
            </w:r>
          </w:p>
        </w:tc>
      </w:tr>
      <w:tr>
        <w:trPr>
          <w:cantSplit w:val="true"/>
        </w:trPr>
        <w:tc>
          <w:tcPr>
            <w:tcW w:type="dxa" w:w="3744"/>
          </w:tcPr>
          <w:p>
            <w:pPr>
              <w:keepNext/>
              <w:spacing w:after="0" w:line="240" w:lineRule="auto"/>
              <w:jc w:val="left"/>
            </w:pPr>
            <w:r>
              <w:rPr>
                <w:b w:val="0"/>
                <w:sz w:val="19"/>
              </w:rPr>
              <w:t>Linearity and constant variance</w:t>
            </w:r>
          </w:p>
        </w:tc>
        <w:tc>
          <w:tcPr>
            <w:tcW w:type="dxa" w:w="1728"/>
          </w:tcPr>
          <w:p>
            <w:pPr>
              <w:keepNext/>
              <w:spacing w:after="0" w:line="240" w:lineRule="auto"/>
              <w:jc w:val="right"/>
            </w:pPr>
            <w:r>
              <w:rPr>
                <w:b w:val="0"/>
                <w:sz w:val="19"/>
              </w:rPr>
              <w:t>Fails</w:t>
            </w:r>
          </w:p>
        </w:tc>
        <w:tc>
          <w:tcPr>
            <w:tcW w:type="dxa" w:w="2160"/>
          </w:tcPr>
          <w:p>
            <w:pPr>
              <w:keepNext/>
              <w:spacing w:after="0" w:line="240" w:lineRule="auto"/>
              <w:jc w:val="right"/>
            </w:pPr>
            <w:r>
              <w:rPr>
                <w:b w:val="0"/>
                <w:sz w:val="19"/>
              </w:rPr>
              <w:t>Fails</w:t>
            </w:r>
          </w:p>
        </w:tc>
        <w:tc>
          <w:tcPr>
            <w:tcW w:type="dxa" w:w="1584"/>
          </w:tcPr>
          <w:p>
            <w:pPr>
              <w:keepNext/>
              <w:spacing w:after="0" w:line="240" w:lineRule="auto"/>
              <w:jc w:val="right"/>
            </w:pPr>
            <w:r>
              <w:rPr>
                <w:b w:val="0"/>
                <w:sz w:val="19"/>
              </w:rPr>
              <w:t>Satisfied</w:t>
            </w:r>
          </w:p>
        </w:tc>
      </w:tr>
      <w:tr>
        <w:trPr>
          <w:cantSplit w:val="true"/>
        </w:trPr>
        <w:tc>
          <w:tcPr>
            <w:tcW w:type="dxa" w:w="3744"/>
            <w:shd w:val="clear" w:color="auto" w:fill="F5F2EF"/>
          </w:tcPr>
          <w:p>
            <w:pPr>
              <w:keepNext/>
              <w:spacing w:after="0" w:line="240" w:lineRule="auto"/>
              <w:jc w:val="left"/>
            </w:pPr>
            <w:r>
              <w:rPr>
                <w:b w:val="0"/>
                <w:sz w:val="19"/>
              </w:rPr>
              <w:t>Durbin-Watson</w:t>
            </w:r>
          </w:p>
        </w:tc>
        <w:tc>
          <w:tcPr>
            <w:tcW w:type="dxa" w:w="1728"/>
            <w:shd w:val="clear" w:color="auto" w:fill="F5F2EF"/>
          </w:tcPr>
          <w:p>
            <w:pPr>
              <w:keepNext/>
              <w:spacing w:after="0" w:line="240" w:lineRule="auto"/>
              <w:jc w:val="right"/>
            </w:pPr>
            <w:r>
              <w:rPr>
                <w:b w:val="0"/>
                <w:sz w:val="19"/>
              </w:rPr>
              <w:t>1.39</w:t>
            </w:r>
          </w:p>
        </w:tc>
        <w:tc>
          <w:tcPr>
            <w:tcW w:type="dxa" w:w="2160"/>
            <w:shd w:val="clear" w:color="auto" w:fill="F5F2EF"/>
          </w:tcPr>
          <w:p>
            <w:pPr>
              <w:keepNext/>
              <w:spacing w:after="0" w:line="240" w:lineRule="auto"/>
              <w:jc w:val="right"/>
            </w:pPr>
            <w:r>
              <w:rPr>
                <w:b w:val="0"/>
                <w:sz w:val="19"/>
              </w:rPr>
              <w:t>1.92</w:t>
            </w:r>
          </w:p>
        </w:tc>
        <w:tc>
          <w:tcPr>
            <w:tcW w:type="dxa" w:w="1584"/>
            <w:shd w:val="clear" w:color="auto" w:fill="F5F2EF"/>
          </w:tcPr>
          <w:p>
            <w:pPr>
              <w:keepNext/>
              <w:spacing w:after="0" w:line="240" w:lineRule="auto"/>
              <w:jc w:val="right"/>
            </w:pPr>
            <w:r>
              <w:rPr>
                <w:b w:val="0"/>
                <w:sz w:val="19"/>
              </w:rPr>
              <w:t>2.11</w:t>
            </w:r>
          </w:p>
        </w:tc>
      </w:tr>
      <w:tr>
        <w:trPr>
          <w:cantSplit w:val="true"/>
        </w:trPr>
        <w:tc>
          <w:tcPr>
            <w:tcW w:type="dxa" w:w="3744"/>
          </w:tcPr>
          <w:p>
            <w:pPr>
              <w:keepNext/>
              <w:spacing w:after="0" w:line="240" w:lineRule="auto"/>
              <w:jc w:val="left"/>
            </w:pPr>
            <w:r>
              <w:rPr>
                <w:b w:val="0"/>
                <w:sz w:val="19"/>
              </w:rPr>
              <w:t>Skewness / kurtosis of residuals</w:t>
            </w:r>
          </w:p>
        </w:tc>
        <w:tc>
          <w:tcPr>
            <w:tcW w:type="dxa" w:w="1728"/>
          </w:tcPr>
          <w:p>
            <w:pPr>
              <w:keepNext/>
              <w:spacing w:after="0" w:line="240" w:lineRule="auto"/>
              <w:jc w:val="right"/>
            </w:pPr>
            <w:r>
              <w:rPr>
                <w:b w:val="0"/>
                <w:sz w:val="19"/>
              </w:rPr>
              <w:t>−0.93 / 8.5</w:t>
            </w:r>
          </w:p>
        </w:tc>
        <w:tc>
          <w:tcPr>
            <w:tcW w:type="dxa" w:w="2160"/>
          </w:tcPr>
          <w:p>
            <w:pPr>
              <w:keepNext/>
              <w:spacing w:after="0" w:line="240" w:lineRule="auto"/>
              <w:jc w:val="right"/>
            </w:pPr>
            <w:r>
              <w:rPr>
                <w:b w:val="0"/>
                <w:sz w:val="19"/>
              </w:rPr>
              <w:t>−0.92 / 5.4</w:t>
            </w:r>
          </w:p>
        </w:tc>
        <w:tc>
          <w:tcPr>
            <w:tcW w:type="dxa" w:w="1584"/>
          </w:tcPr>
          <w:p>
            <w:pPr>
              <w:keepNext/>
              <w:spacing w:after="0" w:line="240" w:lineRule="auto"/>
              <w:jc w:val="right"/>
            </w:pPr>
            <w:r>
              <w:rPr>
                <w:b w:val="0"/>
                <w:sz w:val="19"/>
              </w:rPr>
              <w:t>−0.01 / 3.05</w:t>
            </w:r>
          </w:p>
        </w:tc>
      </w:tr>
      <w:tr>
        <w:trPr>
          <w:cantSplit w:val="true"/>
        </w:trPr>
        <w:tc>
          <w:tcPr>
            <w:tcW w:type="dxa" w:w="3744"/>
            <w:shd w:val="clear" w:color="auto" w:fill="F5F2EF"/>
          </w:tcPr>
          <w:p>
            <w:pPr>
              <w:keepNext/>
              <w:spacing w:after="0" w:line="240" w:lineRule="auto"/>
              <w:jc w:val="left"/>
            </w:pPr>
            <w:r>
              <w:rPr>
                <w:b w:val="0"/>
                <w:sz w:val="19"/>
              </w:rPr>
              <w:t>Residuals beyond ±3 SD</w:t>
            </w:r>
          </w:p>
        </w:tc>
        <w:tc>
          <w:tcPr>
            <w:tcW w:type="dxa" w:w="1728"/>
            <w:shd w:val="clear" w:color="auto" w:fill="F5F2EF"/>
          </w:tcPr>
          <w:p>
            <w:pPr>
              <w:keepNext/>
              <w:spacing w:after="0" w:line="240" w:lineRule="auto"/>
              <w:jc w:val="right"/>
            </w:pPr>
            <w:r>
              <w:rPr>
                <w:b w:val="0"/>
                <w:sz w:val="19"/>
              </w:rPr>
              <w:t>23</w:t>
            </w:r>
          </w:p>
        </w:tc>
        <w:tc>
          <w:tcPr>
            <w:tcW w:type="dxa" w:w="2160"/>
            <w:shd w:val="clear" w:color="auto" w:fill="F5F2EF"/>
          </w:tcPr>
          <w:p>
            <w:pPr>
              <w:keepNext/>
              <w:spacing w:after="0" w:line="240" w:lineRule="auto"/>
              <w:jc w:val="right"/>
            </w:pPr>
            <w:r>
              <w:rPr>
                <w:b w:val="0"/>
                <w:sz w:val="19"/>
              </w:rPr>
              <w:t>17</w:t>
            </w:r>
          </w:p>
        </w:tc>
        <w:tc>
          <w:tcPr>
            <w:tcW w:type="dxa" w:w="1584"/>
            <w:shd w:val="clear" w:color="auto" w:fill="F5F2EF"/>
          </w:tcPr>
          <w:p>
            <w:pPr>
              <w:keepNext/>
              <w:spacing w:after="0" w:line="240" w:lineRule="auto"/>
              <w:jc w:val="right"/>
            </w:pPr>
            <w:r>
              <w:rPr>
                <w:b w:val="0"/>
                <w:sz w:val="19"/>
              </w:rPr>
              <w:t>5</w:t>
            </w:r>
          </w:p>
        </w:tc>
      </w:tr>
      <w:tr>
        <w:trPr>
          <w:cantSplit w:val="true"/>
        </w:trPr>
        <w:tc>
          <w:tcPr>
            <w:tcW w:type="dxa" w:w="3744"/>
          </w:tcPr>
          <w:p>
            <w:pPr>
              <w:keepNext/>
              <w:spacing w:after="0" w:line="240" w:lineRule="auto"/>
              <w:jc w:val="left"/>
            </w:pPr>
            <w:r>
              <w:rPr>
                <w:b w:val="0"/>
                <w:sz w:val="19"/>
              </w:rPr>
              <w:t>Largest VIF</w:t>
            </w:r>
          </w:p>
        </w:tc>
        <w:tc>
          <w:tcPr>
            <w:tcW w:type="dxa" w:w="1728"/>
          </w:tcPr>
          <w:p>
            <w:pPr>
              <w:keepNext/>
              <w:spacing w:after="0" w:line="240" w:lineRule="auto"/>
              <w:jc w:val="right"/>
            </w:pPr>
            <w:r>
              <w:rPr>
                <w:b w:val="0"/>
                <w:sz w:val="19"/>
              </w:rPr>
              <w:t>1.26</w:t>
            </w:r>
          </w:p>
        </w:tc>
        <w:tc>
          <w:tcPr>
            <w:tcW w:type="dxa" w:w="2160"/>
          </w:tcPr>
          <w:p>
            <w:pPr>
              <w:keepNext/>
              <w:spacing w:after="0" w:line="240" w:lineRule="auto"/>
              <w:jc w:val="right"/>
            </w:pPr>
            <w:r>
              <w:rPr>
                <w:b w:val="0"/>
                <w:sz w:val="19"/>
              </w:rPr>
              <w:t>1.26</w:t>
            </w:r>
          </w:p>
        </w:tc>
        <w:tc>
          <w:tcPr>
            <w:tcW w:type="dxa" w:w="1584"/>
          </w:tcPr>
          <w:p>
            <w:pPr>
              <w:keepNext/>
              <w:spacing w:after="0" w:line="240" w:lineRule="auto"/>
              <w:jc w:val="right"/>
            </w:pPr>
            <w:r>
              <w:rPr>
                <w:b w:val="0"/>
                <w:sz w:val="19"/>
              </w:rPr>
              <w:t>1.27</w:t>
            </w:r>
          </w:p>
        </w:tc>
      </w:tr>
      <w:tr>
        <w:trPr>
          <w:cantSplit w:val="true"/>
        </w:trPr>
        <w:tc>
          <w:tcPr>
            <w:tcW w:type="dxa" w:w="3744"/>
            <w:shd w:val="clear" w:color="auto" w:fill="F5F2EF"/>
          </w:tcPr>
          <w:p>
            <w:pPr>
              <w:spacing w:after="0" w:line="240" w:lineRule="auto"/>
              <w:jc w:val="left"/>
            </w:pPr>
            <w:r>
              <w:rPr>
                <w:b w:val="0"/>
                <w:sz w:val="19"/>
              </w:rPr>
              <w:t>R²</w:t>
            </w:r>
          </w:p>
        </w:tc>
        <w:tc>
          <w:tcPr>
            <w:tcW w:type="dxa" w:w="1728"/>
            <w:shd w:val="clear" w:color="auto" w:fill="F5F2EF"/>
          </w:tcPr>
          <w:p>
            <w:pPr>
              <w:spacing w:after="0" w:line="240" w:lineRule="auto"/>
              <w:jc w:val="right"/>
            </w:pPr>
            <w:r>
              <w:rPr>
                <w:b w:val="0"/>
                <w:sz w:val="19"/>
              </w:rPr>
              <w:t>0.673</w:t>
            </w:r>
          </w:p>
        </w:tc>
        <w:tc>
          <w:tcPr>
            <w:tcW w:type="dxa" w:w="2160"/>
            <w:shd w:val="clear" w:color="auto" w:fill="F5F2EF"/>
          </w:tcPr>
          <w:p>
            <w:pPr>
              <w:spacing w:after="0" w:line="240" w:lineRule="auto"/>
              <w:jc w:val="right"/>
            </w:pPr>
            <w:r>
              <w:rPr>
                <w:b w:val="0"/>
                <w:sz w:val="19"/>
              </w:rPr>
              <w:t>0.562 (on ln Units)</w:t>
            </w:r>
          </w:p>
        </w:tc>
        <w:tc>
          <w:tcPr>
            <w:tcW w:type="dxa" w:w="1584"/>
            <w:shd w:val="clear" w:color="auto" w:fill="F5F2EF"/>
          </w:tcPr>
          <w:p>
            <w:pPr>
              <w:spacing w:after="0" w:line="240" w:lineRule="auto"/>
              <w:jc w:val="right"/>
            </w:pPr>
            <w:r>
              <w:rPr>
                <w:b w:val="0"/>
                <w:sz w:val="19"/>
              </w:rPr>
              <w:t>0.806</w:t>
            </w:r>
          </w:p>
        </w:tc>
      </w:tr>
    </w:tbl>
    <w:p>
      <w:pPr>
        <w:spacing w:after="40" w:line="120" w:lineRule="auto"/>
      </w:pPr>
    </w:p>
    <w:p>
      <w:pPr>
        <w:pStyle w:val="Heading2"/>
      </w:pPr>
      <w:r>
        <w:t>7.4 Robustness</w:t>
      </w:r>
    </w:p>
    <w:p>
      <w:r>
        <w:rPr>
          <w:b w:val="0"/>
        </w:rPr>
        <w:t>We ran four further checks. First, the same stores appear in every week, so we re-estimated Model 3 with standard errors clustered by store; every coefficient stays significant at p &lt; 0.001 (for Endcap × Sales Rep the standard error is 5.3 against 8.5, for Demo 6.1 against 5.7). Second, in ten-fold cross-validation that holds out whole stores, the prediction error (RMSE) is 49.1 units for Model 3 against 68.0 for Model 1, so the gain is not over-fitting. Third, when we repeated the stepwise search on every two-, three- and four-way product of the eight variables (154 terms, 108 with enough non-zero rows), the same six terms were selected each time. Fourth, adding each of the other 15 interactions to Model 3 leaves every one insignificant (p from 0.15 to 0.95). We also ran the stepwise search on ln Units; it needed 8 terms and still gave R² = 0.61 with kurtosis 5.8, which is why we keep Model 3 in the original units.</w:t>
      </w:r>
    </w:p>
    <w:p>
      <w:pPr>
        <w:pStyle w:val="Heading1"/>
        <w:pBdr>
          <w:bottom w:val="single" w:sz="6" w:space="2" w:color="7A1E2E"/>
        </w:pBdr>
      </w:pPr>
      <w:r>
        <w:t>8. Answers to the Case Questions</w:t>
      </w:r>
    </w:p>
    <w:p>
      <w:pPr>
        <w:pStyle w:val="Heading2"/>
      </w:pPr>
      <w:r>
        <w:t>8.1 Question 1: The model and what it shows</w:t>
      </w:r>
    </w:p>
    <w:p>
      <w:pPr>
        <w:keepNext/>
      </w:pPr>
      <w:r>
        <w:rPr>
          <w:b w:val="0"/>
        </w:rPr>
        <w:t>Our answer is Model 3 (Table 7.2), which explains 80.6% of the variation in weekly store sales with six terms, all significant at the 1% level. Each coefficient is the change in weekly units per store when the other variables are held constant.</w:t>
      </w:r>
    </w:p>
    <w:p>
      <w:pPr>
        <w:keepNext/>
        <w:spacing w:before="120" w:after="60"/>
        <w:jc w:val="left"/>
      </w:pPr>
      <w:r>
        <w:rPr>
          <w:b/>
          <w:color w:val="333333"/>
          <w:sz w:val="20"/>
        </w:rPr>
        <w:t>Table 8.1: Interpretation of Model 3</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304"/>
        <w:gridCol w:w="1440"/>
        <w:gridCol w:w="2016"/>
        <w:gridCol w:w="3456"/>
      </w:tblGrid>
      <w:tr>
        <w:trPr>
          <w:tblHeader w:val="true"/>
          <w:cantSplit w:val="true"/>
        </w:trPr>
        <w:tc>
          <w:tcPr>
            <w:tcW w:type="dxa" w:w="2304"/>
            <w:shd w:val="clear" w:color="auto" w:fill="6B1B28"/>
          </w:tcPr>
          <w:p>
            <w:pPr>
              <w:keepNext/>
              <w:spacing w:after="0" w:line="240" w:lineRule="auto"/>
              <w:jc w:val="left"/>
            </w:pPr>
            <w:r>
              <w:rPr>
                <w:b/>
                <w:color w:val="FFFFFF"/>
                <w:sz w:val="19"/>
              </w:rPr>
              <w:t>Variable</w:t>
            </w:r>
          </w:p>
        </w:tc>
        <w:tc>
          <w:tcPr>
            <w:tcW w:type="dxa" w:w="1440"/>
            <w:shd w:val="clear" w:color="auto" w:fill="6B1B28"/>
          </w:tcPr>
          <w:p>
            <w:pPr>
              <w:keepNext/>
              <w:spacing w:after="0" w:line="240" w:lineRule="auto"/>
              <w:jc w:val="right"/>
            </w:pPr>
            <w:r>
              <w:rPr>
                <w:b/>
                <w:color w:val="FFFFFF"/>
                <w:sz w:val="19"/>
              </w:rPr>
              <w:t>Coefficient</w:t>
            </w:r>
          </w:p>
        </w:tc>
        <w:tc>
          <w:tcPr>
            <w:tcW w:type="dxa" w:w="2016"/>
            <w:shd w:val="clear" w:color="auto" w:fill="6B1B28"/>
          </w:tcPr>
          <w:p>
            <w:pPr>
              <w:keepNext/>
              <w:spacing w:after="0" w:line="240" w:lineRule="auto"/>
              <w:jc w:val="right"/>
            </w:pPr>
            <w:r>
              <w:rPr>
                <w:b/>
                <w:color w:val="FFFFFF"/>
                <w:sz w:val="19"/>
              </w:rPr>
              <w:t>95% interval</w:t>
            </w:r>
          </w:p>
        </w:tc>
        <w:tc>
          <w:tcPr>
            <w:tcW w:type="dxa" w:w="3456"/>
            <w:shd w:val="clear" w:color="auto" w:fill="6B1B28"/>
          </w:tcPr>
          <w:p>
            <w:pPr>
              <w:keepNext/>
              <w:spacing w:after="0" w:line="240" w:lineRule="auto"/>
              <w:jc w:val="left"/>
            </w:pPr>
            <w:r>
              <w:rPr>
                <w:b/>
                <w:color w:val="FFFFFF"/>
                <w:sz w:val="19"/>
              </w:rPr>
              <w:t>Meaning</w:t>
            </w:r>
          </w:p>
        </w:tc>
      </w:tr>
      <w:tr>
        <w:trPr>
          <w:cantSplit w:val="true"/>
        </w:trPr>
        <w:tc>
          <w:tcPr>
            <w:tcW w:type="dxa" w:w="2304"/>
          </w:tcPr>
          <w:p>
            <w:pPr>
              <w:keepNext/>
              <w:spacing w:after="0" w:line="240" w:lineRule="auto"/>
              <w:jc w:val="left"/>
            </w:pPr>
            <w:r>
              <w:rPr>
                <w:b w:val="0"/>
                <w:sz w:val="19"/>
              </w:rPr>
              <w:t>Endcap × Sales Rep</w:t>
            </w:r>
          </w:p>
        </w:tc>
        <w:tc>
          <w:tcPr>
            <w:tcW w:type="dxa" w:w="1440"/>
          </w:tcPr>
          <w:p>
            <w:pPr>
              <w:keepNext/>
              <w:spacing w:after="0" w:line="240" w:lineRule="auto"/>
              <w:jc w:val="right"/>
            </w:pPr>
            <w:r>
              <w:rPr>
                <w:b w:val="0"/>
                <w:sz w:val="19"/>
              </w:rPr>
              <w:t>+454.4</w:t>
            </w:r>
          </w:p>
        </w:tc>
        <w:tc>
          <w:tcPr>
            <w:tcW w:type="dxa" w:w="2016"/>
          </w:tcPr>
          <w:p>
            <w:pPr>
              <w:keepNext/>
              <w:spacing w:after="0" w:line="240" w:lineRule="auto"/>
              <w:jc w:val="right"/>
            </w:pPr>
            <w:r>
              <w:rPr>
                <w:b w:val="0"/>
                <w:sz w:val="19"/>
              </w:rPr>
              <w:t>437.8 to 471.0</w:t>
            </w:r>
          </w:p>
        </w:tc>
        <w:tc>
          <w:tcPr>
            <w:tcW w:type="dxa" w:w="3456"/>
          </w:tcPr>
          <w:p>
            <w:pPr>
              <w:keepNext/>
              <w:spacing w:after="0" w:line="240" w:lineRule="auto"/>
              <w:jc w:val="left"/>
            </w:pPr>
            <w:r>
              <w:rPr>
                <w:b w:val="0"/>
                <w:sz w:val="19"/>
              </w:rPr>
              <w:t>Endcap in a store with a regional rep</w:t>
            </w:r>
          </w:p>
        </w:tc>
      </w:tr>
      <w:tr>
        <w:trPr>
          <w:cantSplit w:val="true"/>
        </w:trPr>
        <w:tc>
          <w:tcPr>
            <w:tcW w:type="dxa" w:w="2304"/>
            <w:shd w:val="clear" w:color="auto" w:fill="F5F2EF"/>
          </w:tcPr>
          <w:p>
            <w:pPr>
              <w:keepNext/>
              <w:spacing w:after="0" w:line="240" w:lineRule="auto"/>
              <w:jc w:val="left"/>
            </w:pPr>
            <w:r>
              <w:rPr>
                <w:b w:val="0"/>
                <w:sz w:val="19"/>
              </w:rPr>
              <w:t>Demo</w:t>
            </w:r>
          </w:p>
        </w:tc>
        <w:tc>
          <w:tcPr>
            <w:tcW w:type="dxa" w:w="1440"/>
            <w:shd w:val="clear" w:color="auto" w:fill="F5F2EF"/>
          </w:tcPr>
          <w:p>
            <w:pPr>
              <w:keepNext/>
              <w:spacing w:after="0" w:line="240" w:lineRule="auto"/>
              <w:jc w:val="right"/>
            </w:pPr>
            <w:r>
              <w:rPr>
                <w:b w:val="0"/>
                <w:sz w:val="19"/>
              </w:rPr>
              <w:t>+106.8</w:t>
            </w:r>
          </w:p>
        </w:tc>
        <w:tc>
          <w:tcPr>
            <w:tcW w:type="dxa" w:w="2016"/>
            <w:shd w:val="clear" w:color="auto" w:fill="F5F2EF"/>
          </w:tcPr>
          <w:p>
            <w:pPr>
              <w:keepNext/>
              <w:spacing w:after="0" w:line="240" w:lineRule="auto"/>
              <w:jc w:val="right"/>
            </w:pPr>
            <w:r>
              <w:rPr>
                <w:b w:val="0"/>
                <w:sz w:val="19"/>
              </w:rPr>
              <w:t>95.6 to 117.9</w:t>
            </w:r>
          </w:p>
        </w:tc>
        <w:tc>
          <w:tcPr>
            <w:tcW w:type="dxa" w:w="3456"/>
            <w:shd w:val="clear" w:color="auto" w:fill="F5F2EF"/>
          </w:tcPr>
          <w:p>
            <w:pPr>
              <w:keepNext/>
              <w:spacing w:after="0" w:line="240" w:lineRule="auto"/>
              <w:jc w:val="left"/>
            </w:pPr>
            <w:r>
              <w:rPr>
                <w:b w:val="0"/>
                <w:sz w:val="19"/>
              </w:rPr>
              <w:t>Week of the demo</w:t>
            </w:r>
          </w:p>
        </w:tc>
      </w:tr>
      <w:tr>
        <w:trPr>
          <w:cantSplit w:val="true"/>
        </w:trPr>
        <w:tc>
          <w:tcPr>
            <w:tcW w:type="dxa" w:w="2304"/>
          </w:tcPr>
          <w:p>
            <w:pPr>
              <w:keepNext/>
              <w:spacing w:after="0" w:line="240" w:lineRule="auto"/>
              <w:jc w:val="left"/>
            </w:pPr>
            <w:r>
              <w:rPr>
                <w:b w:val="0"/>
                <w:sz w:val="19"/>
              </w:rPr>
              <w:t>Demo4-5</w:t>
            </w:r>
          </w:p>
        </w:tc>
        <w:tc>
          <w:tcPr>
            <w:tcW w:type="dxa" w:w="1440"/>
          </w:tcPr>
          <w:p>
            <w:pPr>
              <w:keepNext/>
              <w:spacing w:after="0" w:line="240" w:lineRule="auto"/>
              <w:jc w:val="right"/>
            </w:pPr>
            <w:r>
              <w:rPr>
                <w:b w:val="0"/>
                <w:sz w:val="19"/>
              </w:rPr>
              <w:t>+74.6</w:t>
            </w:r>
          </w:p>
        </w:tc>
        <w:tc>
          <w:tcPr>
            <w:tcW w:type="dxa" w:w="2016"/>
          </w:tcPr>
          <w:p>
            <w:pPr>
              <w:keepNext/>
              <w:spacing w:after="0" w:line="240" w:lineRule="auto"/>
              <w:jc w:val="right"/>
            </w:pPr>
            <w:r>
              <w:rPr>
                <w:b w:val="0"/>
                <w:sz w:val="19"/>
              </w:rPr>
              <w:t>64.7 to 84.4</w:t>
            </w:r>
          </w:p>
        </w:tc>
        <w:tc>
          <w:tcPr>
            <w:tcW w:type="dxa" w:w="3456"/>
          </w:tcPr>
          <w:p>
            <w:pPr>
              <w:keepNext/>
              <w:spacing w:after="0" w:line="240" w:lineRule="auto"/>
              <w:jc w:val="left"/>
            </w:pPr>
            <w:r>
              <w:rPr>
                <w:b w:val="0"/>
                <w:sz w:val="19"/>
              </w:rPr>
              <w:t>4 to 5 weeks after a demo</w:t>
            </w:r>
          </w:p>
        </w:tc>
      </w:tr>
      <w:tr>
        <w:trPr>
          <w:cantSplit w:val="true"/>
        </w:trPr>
        <w:tc>
          <w:tcPr>
            <w:tcW w:type="dxa" w:w="2304"/>
            <w:shd w:val="clear" w:color="auto" w:fill="F5F2EF"/>
          </w:tcPr>
          <w:p>
            <w:pPr>
              <w:keepNext/>
              <w:spacing w:after="0" w:line="240" w:lineRule="auto"/>
              <w:jc w:val="left"/>
            </w:pPr>
            <w:r>
              <w:rPr>
                <w:b w:val="0"/>
                <w:sz w:val="19"/>
              </w:rPr>
              <w:t>Demo1-3</w:t>
            </w:r>
          </w:p>
        </w:tc>
        <w:tc>
          <w:tcPr>
            <w:tcW w:type="dxa" w:w="1440"/>
            <w:shd w:val="clear" w:color="auto" w:fill="F5F2EF"/>
          </w:tcPr>
          <w:p>
            <w:pPr>
              <w:keepNext/>
              <w:spacing w:after="0" w:line="240" w:lineRule="auto"/>
              <w:jc w:val="right"/>
            </w:pPr>
            <w:r>
              <w:rPr>
                <w:b w:val="0"/>
                <w:sz w:val="19"/>
              </w:rPr>
              <w:t>+73.4</w:t>
            </w:r>
          </w:p>
        </w:tc>
        <w:tc>
          <w:tcPr>
            <w:tcW w:type="dxa" w:w="2016"/>
            <w:shd w:val="clear" w:color="auto" w:fill="F5F2EF"/>
          </w:tcPr>
          <w:p>
            <w:pPr>
              <w:keepNext/>
              <w:spacing w:after="0" w:line="240" w:lineRule="auto"/>
              <w:jc w:val="right"/>
            </w:pPr>
            <w:r>
              <w:rPr>
                <w:b w:val="0"/>
                <w:sz w:val="19"/>
              </w:rPr>
              <w:t>66.0 to 80.8</w:t>
            </w:r>
          </w:p>
        </w:tc>
        <w:tc>
          <w:tcPr>
            <w:tcW w:type="dxa" w:w="3456"/>
            <w:shd w:val="clear" w:color="auto" w:fill="F5F2EF"/>
          </w:tcPr>
          <w:p>
            <w:pPr>
              <w:keepNext/>
              <w:spacing w:after="0" w:line="240" w:lineRule="auto"/>
              <w:jc w:val="left"/>
            </w:pPr>
            <w:r>
              <w:rPr>
                <w:b w:val="0"/>
                <w:sz w:val="19"/>
              </w:rPr>
              <w:t>1 to 3 weeks after a demo</w:t>
            </w:r>
          </w:p>
        </w:tc>
      </w:tr>
      <w:tr>
        <w:trPr>
          <w:cantSplit w:val="true"/>
        </w:trPr>
        <w:tc>
          <w:tcPr>
            <w:tcW w:type="dxa" w:w="2304"/>
          </w:tcPr>
          <w:p>
            <w:pPr>
              <w:keepNext/>
              <w:spacing w:after="0" w:line="240" w:lineRule="auto"/>
              <w:jc w:val="left"/>
            </w:pPr>
            <w:r>
              <w:rPr>
                <w:b w:val="0"/>
                <w:sz w:val="19"/>
              </w:rPr>
              <w:t>Sales Rep</w:t>
            </w:r>
          </w:p>
        </w:tc>
        <w:tc>
          <w:tcPr>
            <w:tcW w:type="dxa" w:w="1440"/>
          </w:tcPr>
          <w:p>
            <w:pPr>
              <w:keepNext/>
              <w:spacing w:after="0" w:line="240" w:lineRule="auto"/>
              <w:jc w:val="right"/>
            </w:pPr>
            <w:r>
              <w:rPr>
                <w:b w:val="0"/>
                <w:sz w:val="19"/>
              </w:rPr>
              <w:t>+59.4</w:t>
            </w:r>
          </w:p>
        </w:tc>
        <w:tc>
          <w:tcPr>
            <w:tcW w:type="dxa" w:w="2016"/>
          </w:tcPr>
          <w:p>
            <w:pPr>
              <w:keepNext/>
              <w:spacing w:after="0" w:line="240" w:lineRule="auto"/>
              <w:jc w:val="right"/>
            </w:pPr>
            <w:r>
              <w:rPr>
                <w:b w:val="0"/>
                <w:sz w:val="19"/>
              </w:rPr>
              <w:t>53.6 to 65.3</w:t>
            </w:r>
          </w:p>
        </w:tc>
        <w:tc>
          <w:tcPr>
            <w:tcW w:type="dxa" w:w="3456"/>
          </w:tcPr>
          <w:p>
            <w:pPr>
              <w:keepNext/>
              <w:spacing w:after="0" w:line="240" w:lineRule="auto"/>
              <w:jc w:val="left"/>
            </w:pPr>
            <w:r>
              <w:rPr>
                <w:b w:val="0"/>
                <w:sz w:val="19"/>
              </w:rPr>
              <w:t>Regional rep, no promotion</w:t>
            </w:r>
          </w:p>
        </w:tc>
      </w:tr>
      <w:tr>
        <w:trPr>
          <w:cantSplit w:val="true"/>
        </w:trPr>
        <w:tc>
          <w:tcPr>
            <w:tcW w:type="dxa" w:w="2304"/>
            <w:shd w:val="clear" w:color="auto" w:fill="F5F2EF"/>
          </w:tcPr>
          <w:p>
            <w:pPr>
              <w:spacing w:after="0" w:line="240" w:lineRule="auto"/>
              <w:jc w:val="left"/>
            </w:pPr>
            <w:r>
              <w:rPr>
                <w:b w:val="0"/>
                <w:sz w:val="19"/>
              </w:rPr>
              <w:t>Price</w:t>
            </w:r>
          </w:p>
        </w:tc>
        <w:tc>
          <w:tcPr>
            <w:tcW w:type="dxa" w:w="1440"/>
            <w:shd w:val="clear" w:color="auto" w:fill="F5F2EF"/>
          </w:tcPr>
          <w:p>
            <w:pPr>
              <w:spacing w:after="0" w:line="240" w:lineRule="auto"/>
              <w:jc w:val="right"/>
            </w:pPr>
            <w:r>
              <w:rPr>
                <w:b w:val="0"/>
                <w:sz w:val="19"/>
              </w:rPr>
              <w:t>−22.1</w:t>
            </w:r>
          </w:p>
        </w:tc>
        <w:tc>
          <w:tcPr>
            <w:tcW w:type="dxa" w:w="2016"/>
            <w:shd w:val="clear" w:color="auto" w:fill="F5F2EF"/>
          </w:tcPr>
          <w:p>
            <w:pPr>
              <w:spacing w:after="0" w:line="240" w:lineRule="auto"/>
              <w:jc w:val="right"/>
            </w:pPr>
            <w:r>
              <w:rPr>
                <w:b w:val="0"/>
                <w:sz w:val="19"/>
              </w:rPr>
              <w:t>−28.0 to −16.1</w:t>
            </w:r>
          </w:p>
        </w:tc>
        <w:tc>
          <w:tcPr>
            <w:tcW w:type="dxa" w:w="3456"/>
            <w:shd w:val="clear" w:color="auto" w:fill="F5F2EF"/>
          </w:tcPr>
          <w:p>
            <w:pPr>
              <w:spacing w:after="0" w:line="240" w:lineRule="auto"/>
              <w:jc w:val="left"/>
            </w:pPr>
            <w:r>
              <w:rPr>
                <w:b w:val="0"/>
                <w:sz w:val="19"/>
              </w:rPr>
              <w:t>Per $1 increase in price</w:t>
            </w:r>
          </w:p>
        </w:tc>
      </w:tr>
    </w:tbl>
    <w:p>
      <w:pPr>
        <w:spacing w:after="40" w:line="120" w:lineRule="auto"/>
      </w:pPr>
    </w:p>
    <w:p>
      <w:r>
        <w:rPr>
          <w:b w:val="0"/>
        </w:rPr>
        <w:t>Four observations follow. Both promotional programmes go with higher sales, and the endcap effect is the largest in the model. The endcap effect is conditional: it appears only where a regional sales rep is present, and JASP did not select the plain Endcap variable once the interaction was available. The demo effect persists well beyond the demo week. And the local environment does not matter: the number of natural retailers and fitness centres nearby has no significant effect, while a regional rep and a lower price both raise sales. At the mean price and mean sales, the price elasticity is about -0.36, so demand is inelastic over the observed range.</w:t>
      </w:r>
    </w:p>
    <w:p>
      <w:pPr>
        <w:pStyle w:val="Heading2"/>
      </w:pPr>
      <w:r>
        <w:t>8.2 Question 2: Do the model’s assumptions hold?</w:t>
      </w:r>
    </w:p>
    <w:p>
      <w:r>
        <w:rPr>
          <w:b w:val="0"/>
        </w:rPr>
        <w:t>Not at first. Model 1 failed linearity, constant variance, independence and normality (Section 3), and the log-level Model 2 did not cure them (Section 5). Model 3 satisfies all four (Section 7.3), as Table 7.3 shows side by side. Multicollinearity is not a concern in any of the three models; the highest VIF in Model 3 is 1.27, for Sales Rep. Beyond the plots and the Durbin-Watson statistic, we verified the model with Cook’s distance, store-clustered standard errors, store-level cross-validation and a search over all two-, three- and four-way interactions (Section 7.4). Further work that would verify it more fully: residual plots in week order for each store, a mixed model with a store effect for the repeated observations, and a plot of residuals against Price to confirm that its effect is linear (adding Price squared to Model 3 is not significant, p = 0.77).</w:t>
      </w:r>
    </w:p>
    <w:p>
      <w:pPr>
        <w:pStyle w:val="Heading2"/>
      </w:pPr>
      <w:r>
        <w:t>8.3 Question 3: Do demos boost sales, and for how long?</w:t>
      </w:r>
    </w:p>
    <w:p>
      <w:r>
        <w:rPr>
          <w:b w:val="0"/>
        </w:rPr>
        <w:t>Yes. A demo is associated with about 107 additional units in the week it is held. A store that has no demo effect and no endcap sells about 213 units in a week, so this is a lift of roughly 50%. After the demo week the lift settles at about 73 to 75 units a week (roughly 34%) and stays there. The coefficients for weeks 1 to 3 and weeks 4 to 5 are almost identical (a partial F-test of equality gives F = 0.04, p = 0.85; the difference is 1.2 units, 95% interval −11 to +13), so we see no sign of the lift fading within five weeks. The demo week itself is higher than the weeks that follow (F = 24.0, p &lt; 0.001).</w:t>
      </w:r>
    </w:p>
    <w:p>
      <w:pPr>
        <w:keepNext/>
        <w:spacing w:before="120" w:after="60"/>
        <w:jc w:val="left"/>
      </w:pPr>
      <w:r>
        <w:rPr>
          <w:b/>
          <w:color w:val="333333"/>
          <w:sz w:val="20"/>
        </w:rPr>
        <w:t>Table 8.2: Cumulative sales lift from one demo</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016"/>
        <w:gridCol w:w="1584"/>
        <w:gridCol w:w="1872"/>
        <w:gridCol w:w="2016"/>
        <w:gridCol w:w="1728"/>
      </w:tblGrid>
      <w:tr>
        <w:trPr>
          <w:tblHeader w:val="true"/>
          <w:cantSplit w:val="true"/>
        </w:trPr>
        <w:tc>
          <w:tcPr>
            <w:tcW w:type="dxa" w:w="2016"/>
            <w:shd w:val="clear" w:color="auto" w:fill="6B1B28"/>
          </w:tcPr>
          <w:p>
            <w:pPr>
              <w:keepNext/>
              <w:spacing w:after="0" w:line="240" w:lineRule="auto"/>
              <w:jc w:val="left"/>
            </w:pPr>
            <w:r>
              <w:rPr>
                <w:b/>
                <w:color w:val="FFFFFF"/>
                <w:sz w:val="19"/>
              </w:rPr>
              <w:t>Week</w:t>
            </w:r>
          </w:p>
        </w:tc>
        <w:tc>
          <w:tcPr>
            <w:tcW w:type="dxa" w:w="1584"/>
            <w:shd w:val="clear" w:color="auto" w:fill="6B1B28"/>
          </w:tcPr>
          <w:p>
            <w:pPr>
              <w:keepNext/>
              <w:spacing w:after="0" w:line="240" w:lineRule="auto"/>
              <w:jc w:val="right"/>
            </w:pPr>
            <w:r>
              <w:rPr>
                <w:b/>
                <w:color w:val="FFFFFF"/>
                <w:sz w:val="19"/>
              </w:rPr>
              <w:t>Lift (units)</w:t>
            </w:r>
          </w:p>
        </w:tc>
        <w:tc>
          <w:tcPr>
            <w:tcW w:type="dxa" w:w="1872"/>
            <w:shd w:val="clear" w:color="auto" w:fill="6B1B28"/>
          </w:tcPr>
          <w:p>
            <w:pPr>
              <w:keepNext/>
              <w:spacing w:after="0" w:line="240" w:lineRule="auto"/>
              <w:jc w:val="right"/>
            </w:pPr>
            <w:r>
              <w:rPr>
                <w:b/>
                <w:color w:val="FFFFFF"/>
                <w:sz w:val="19"/>
              </w:rPr>
              <w:t>Lift vs. baseline</w:t>
            </w:r>
          </w:p>
        </w:tc>
        <w:tc>
          <w:tcPr>
            <w:tcW w:type="dxa" w:w="2016"/>
            <w:shd w:val="clear" w:color="auto" w:fill="6B1B28"/>
          </w:tcPr>
          <w:p>
            <w:pPr>
              <w:keepNext/>
              <w:spacing w:after="0" w:line="240" w:lineRule="auto"/>
              <w:jc w:val="right"/>
            </w:pPr>
            <w:r>
              <w:rPr>
                <w:b/>
                <w:color w:val="FFFFFF"/>
                <w:sz w:val="19"/>
              </w:rPr>
              <w:t>Cumulative units</w:t>
            </w:r>
          </w:p>
        </w:tc>
        <w:tc>
          <w:tcPr>
            <w:tcW w:type="dxa" w:w="1728"/>
            <w:shd w:val="clear" w:color="auto" w:fill="6B1B28"/>
          </w:tcPr>
          <w:p>
            <w:pPr>
              <w:keepNext/>
              <w:spacing w:after="0" w:line="240" w:lineRule="auto"/>
              <w:jc w:val="right"/>
            </w:pPr>
            <w:r>
              <w:rPr>
                <w:b/>
                <w:color w:val="FFFFFF"/>
                <w:sz w:val="19"/>
              </w:rPr>
              <w:t>Share of total</w:t>
            </w:r>
          </w:p>
        </w:tc>
      </w:tr>
      <w:tr>
        <w:trPr>
          <w:cantSplit w:val="true"/>
        </w:trPr>
        <w:tc>
          <w:tcPr>
            <w:tcW w:type="dxa" w:w="2016"/>
          </w:tcPr>
          <w:p>
            <w:pPr>
              <w:keepNext/>
              <w:spacing w:after="0" w:line="240" w:lineRule="auto"/>
              <w:jc w:val="left"/>
            </w:pPr>
            <w:r>
              <w:rPr>
                <w:b w:val="0"/>
                <w:sz w:val="19"/>
              </w:rPr>
              <w:t>Demo week</w:t>
            </w:r>
          </w:p>
        </w:tc>
        <w:tc>
          <w:tcPr>
            <w:tcW w:type="dxa" w:w="1584"/>
          </w:tcPr>
          <w:p>
            <w:pPr>
              <w:keepNext/>
              <w:spacing w:after="0" w:line="240" w:lineRule="auto"/>
              <w:jc w:val="right"/>
            </w:pPr>
            <w:r>
              <w:rPr>
                <w:b w:val="0"/>
                <w:sz w:val="19"/>
              </w:rPr>
              <w:t>106.8</w:t>
            </w:r>
          </w:p>
        </w:tc>
        <w:tc>
          <w:tcPr>
            <w:tcW w:type="dxa" w:w="1872"/>
          </w:tcPr>
          <w:p>
            <w:pPr>
              <w:keepNext/>
              <w:spacing w:after="0" w:line="240" w:lineRule="auto"/>
              <w:jc w:val="right"/>
            </w:pPr>
            <w:r>
              <w:rPr>
                <w:b w:val="0"/>
                <w:sz w:val="19"/>
              </w:rPr>
              <w:t>50%</w:t>
            </w:r>
          </w:p>
        </w:tc>
        <w:tc>
          <w:tcPr>
            <w:tcW w:type="dxa" w:w="2016"/>
          </w:tcPr>
          <w:p>
            <w:pPr>
              <w:keepNext/>
              <w:spacing w:after="0" w:line="240" w:lineRule="auto"/>
              <w:jc w:val="right"/>
            </w:pPr>
            <w:r>
              <w:rPr>
                <w:b w:val="0"/>
                <w:sz w:val="19"/>
              </w:rPr>
              <w:t>106.8</w:t>
            </w:r>
          </w:p>
        </w:tc>
        <w:tc>
          <w:tcPr>
            <w:tcW w:type="dxa" w:w="1728"/>
          </w:tcPr>
          <w:p>
            <w:pPr>
              <w:keepNext/>
              <w:spacing w:after="0" w:line="240" w:lineRule="auto"/>
              <w:jc w:val="right"/>
            </w:pPr>
            <w:r>
              <w:rPr>
                <w:b w:val="0"/>
                <w:sz w:val="19"/>
              </w:rPr>
              <w:t>22%</w:t>
            </w:r>
          </w:p>
        </w:tc>
      </w:tr>
      <w:tr>
        <w:trPr>
          <w:cantSplit w:val="true"/>
        </w:trPr>
        <w:tc>
          <w:tcPr>
            <w:tcW w:type="dxa" w:w="2016"/>
            <w:shd w:val="clear" w:color="auto" w:fill="F5F2EF"/>
          </w:tcPr>
          <w:p>
            <w:pPr>
              <w:keepNext/>
              <w:spacing w:after="0" w:line="240" w:lineRule="auto"/>
              <w:jc w:val="left"/>
            </w:pPr>
            <w:r>
              <w:rPr>
                <w:b w:val="0"/>
                <w:sz w:val="19"/>
              </w:rPr>
              <w:t>Week 1</w:t>
            </w:r>
          </w:p>
        </w:tc>
        <w:tc>
          <w:tcPr>
            <w:tcW w:type="dxa" w:w="1584"/>
            <w:shd w:val="clear" w:color="auto" w:fill="F5F2EF"/>
          </w:tcPr>
          <w:p>
            <w:pPr>
              <w:keepNext/>
              <w:spacing w:after="0" w:line="240" w:lineRule="auto"/>
              <w:jc w:val="right"/>
            </w:pPr>
            <w:r>
              <w:rPr>
                <w:b w:val="0"/>
                <w:sz w:val="19"/>
              </w:rPr>
              <w:t>73.4</w:t>
            </w:r>
          </w:p>
        </w:tc>
        <w:tc>
          <w:tcPr>
            <w:tcW w:type="dxa" w:w="1872"/>
            <w:shd w:val="clear" w:color="auto" w:fill="F5F2EF"/>
          </w:tcPr>
          <w:p>
            <w:pPr>
              <w:keepNext/>
              <w:spacing w:after="0" w:line="240" w:lineRule="auto"/>
              <w:jc w:val="right"/>
            </w:pPr>
            <w:r>
              <w:rPr>
                <w:b w:val="0"/>
                <w:sz w:val="19"/>
              </w:rPr>
              <w:t>34%</w:t>
            </w:r>
          </w:p>
        </w:tc>
        <w:tc>
          <w:tcPr>
            <w:tcW w:type="dxa" w:w="2016"/>
            <w:shd w:val="clear" w:color="auto" w:fill="F5F2EF"/>
          </w:tcPr>
          <w:p>
            <w:pPr>
              <w:keepNext/>
              <w:spacing w:after="0" w:line="240" w:lineRule="auto"/>
              <w:jc w:val="right"/>
            </w:pPr>
            <w:r>
              <w:rPr>
                <w:b w:val="0"/>
                <w:sz w:val="19"/>
              </w:rPr>
              <w:t>180.1</w:t>
            </w:r>
          </w:p>
        </w:tc>
        <w:tc>
          <w:tcPr>
            <w:tcW w:type="dxa" w:w="1728"/>
            <w:shd w:val="clear" w:color="auto" w:fill="F5F2EF"/>
          </w:tcPr>
          <w:p>
            <w:pPr>
              <w:keepNext/>
              <w:spacing w:after="0" w:line="240" w:lineRule="auto"/>
              <w:jc w:val="right"/>
            </w:pPr>
            <w:r>
              <w:rPr>
                <w:b w:val="0"/>
                <w:sz w:val="19"/>
              </w:rPr>
              <w:t>38%</w:t>
            </w:r>
          </w:p>
        </w:tc>
      </w:tr>
      <w:tr>
        <w:trPr>
          <w:cantSplit w:val="true"/>
        </w:trPr>
        <w:tc>
          <w:tcPr>
            <w:tcW w:type="dxa" w:w="2016"/>
          </w:tcPr>
          <w:p>
            <w:pPr>
              <w:keepNext/>
              <w:spacing w:after="0" w:line="240" w:lineRule="auto"/>
              <w:jc w:val="left"/>
            </w:pPr>
            <w:r>
              <w:rPr>
                <w:b w:val="0"/>
                <w:sz w:val="19"/>
              </w:rPr>
              <w:t>Week 2</w:t>
            </w:r>
          </w:p>
        </w:tc>
        <w:tc>
          <w:tcPr>
            <w:tcW w:type="dxa" w:w="1584"/>
          </w:tcPr>
          <w:p>
            <w:pPr>
              <w:keepNext/>
              <w:spacing w:after="0" w:line="240" w:lineRule="auto"/>
              <w:jc w:val="right"/>
            </w:pPr>
            <w:r>
              <w:rPr>
                <w:b w:val="0"/>
                <w:sz w:val="19"/>
              </w:rPr>
              <w:t>73.4</w:t>
            </w:r>
          </w:p>
        </w:tc>
        <w:tc>
          <w:tcPr>
            <w:tcW w:type="dxa" w:w="1872"/>
          </w:tcPr>
          <w:p>
            <w:pPr>
              <w:keepNext/>
              <w:spacing w:after="0" w:line="240" w:lineRule="auto"/>
              <w:jc w:val="right"/>
            </w:pPr>
            <w:r>
              <w:rPr>
                <w:b w:val="0"/>
                <w:sz w:val="19"/>
              </w:rPr>
              <w:t>34%</w:t>
            </w:r>
          </w:p>
        </w:tc>
        <w:tc>
          <w:tcPr>
            <w:tcW w:type="dxa" w:w="2016"/>
          </w:tcPr>
          <w:p>
            <w:pPr>
              <w:keepNext/>
              <w:spacing w:after="0" w:line="240" w:lineRule="auto"/>
              <w:jc w:val="right"/>
            </w:pPr>
            <w:r>
              <w:rPr>
                <w:b w:val="0"/>
                <w:sz w:val="19"/>
              </w:rPr>
              <w:t>253.5</w:t>
            </w:r>
          </w:p>
        </w:tc>
        <w:tc>
          <w:tcPr>
            <w:tcW w:type="dxa" w:w="1728"/>
          </w:tcPr>
          <w:p>
            <w:pPr>
              <w:keepNext/>
              <w:spacing w:after="0" w:line="240" w:lineRule="auto"/>
              <w:jc w:val="right"/>
            </w:pPr>
            <w:r>
              <w:rPr>
                <w:b w:val="0"/>
                <w:sz w:val="19"/>
              </w:rPr>
              <w:t>53%</w:t>
            </w:r>
          </w:p>
        </w:tc>
      </w:tr>
      <w:tr>
        <w:trPr>
          <w:cantSplit w:val="true"/>
        </w:trPr>
        <w:tc>
          <w:tcPr>
            <w:tcW w:type="dxa" w:w="2016"/>
            <w:shd w:val="clear" w:color="auto" w:fill="F5F2EF"/>
          </w:tcPr>
          <w:p>
            <w:pPr>
              <w:keepNext/>
              <w:spacing w:after="0" w:line="240" w:lineRule="auto"/>
              <w:jc w:val="left"/>
            </w:pPr>
            <w:r>
              <w:rPr>
                <w:b w:val="0"/>
                <w:sz w:val="19"/>
              </w:rPr>
              <w:t>Week 3</w:t>
            </w:r>
          </w:p>
        </w:tc>
        <w:tc>
          <w:tcPr>
            <w:tcW w:type="dxa" w:w="1584"/>
            <w:shd w:val="clear" w:color="auto" w:fill="F5F2EF"/>
          </w:tcPr>
          <w:p>
            <w:pPr>
              <w:keepNext/>
              <w:spacing w:after="0" w:line="240" w:lineRule="auto"/>
              <w:jc w:val="right"/>
            </w:pPr>
            <w:r>
              <w:rPr>
                <w:b w:val="0"/>
                <w:sz w:val="19"/>
              </w:rPr>
              <w:t>73.4</w:t>
            </w:r>
          </w:p>
        </w:tc>
        <w:tc>
          <w:tcPr>
            <w:tcW w:type="dxa" w:w="1872"/>
            <w:shd w:val="clear" w:color="auto" w:fill="F5F2EF"/>
          </w:tcPr>
          <w:p>
            <w:pPr>
              <w:keepNext/>
              <w:spacing w:after="0" w:line="240" w:lineRule="auto"/>
              <w:jc w:val="right"/>
            </w:pPr>
            <w:r>
              <w:rPr>
                <w:b w:val="0"/>
                <w:sz w:val="19"/>
              </w:rPr>
              <w:t>34%</w:t>
            </w:r>
          </w:p>
        </w:tc>
        <w:tc>
          <w:tcPr>
            <w:tcW w:type="dxa" w:w="2016"/>
            <w:shd w:val="clear" w:color="auto" w:fill="F5F2EF"/>
          </w:tcPr>
          <w:p>
            <w:pPr>
              <w:keepNext/>
              <w:spacing w:after="0" w:line="240" w:lineRule="auto"/>
              <w:jc w:val="right"/>
            </w:pPr>
            <w:r>
              <w:rPr>
                <w:b w:val="0"/>
                <w:sz w:val="19"/>
              </w:rPr>
              <w:t>326.9</w:t>
            </w:r>
          </w:p>
        </w:tc>
        <w:tc>
          <w:tcPr>
            <w:tcW w:type="dxa" w:w="1728"/>
            <w:shd w:val="clear" w:color="auto" w:fill="F5F2EF"/>
          </w:tcPr>
          <w:p>
            <w:pPr>
              <w:keepNext/>
              <w:spacing w:after="0" w:line="240" w:lineRule="auto"/>
              <w:jc w:val="right"/>
            </w:pPr>
            <w:r>
              <w:rPr>
                <w:b w:val="0"/>
                <w:sz w:val="19"/>
              </w:rPr>
              <w:t>69%</w:t>
            </w:r>
          </w:p>
        </w:tc>
      </w:tr>
      <w:tr>
        <w:trPr>
          <w:cantSplit w:val="true"/>
        </w:trPr>
        <w:tc>
          <w:tcPr>
            <w:tcW w:type="dxa" w:w="2016"/>
          </w:tcPr>
          <w:p>
            <w:pPr>
              <w:keepNext/>
              <w:spacing w:after="0" w:line="240" w:lineRule="auto"/>
              <w:jc w:val="left"/>
            </w:pPr>
            <w:r>
              <w:rPr>
                <w:b w:val="0"/>
                <w:sz w:val="19"/>
              </w:rPr>
              <w:t>Week 4</w:t>
            </w:r>
          </w:p>
        </w:tc>
        <w:tc>
          <w:tcPr>
            <w:tcW w:type="dxa" w:w="1584"/>
          </w:tcPr>
          <w:p>
            <w:pPr>
              <w:keepNext/>
              <w:spacing w:after="0" w:line="240" w:lineRule="auto"/>
              <w:jc w:val="right"/>
            </w:pPr>
            <w:r>
              <w:rPr>
                <w:b w:val="0"/>
                <w:sz w:val="19"/>
              </w:rPr>
              <w:t>74.6</w:t>
            </w:r>
          </w:p>
        </w:tc>
        <w:tc>
          <w:tcPr>
            <w:tcW w:type="dxa" w:w="1872"/>
          </w:tcPr>
          <w:p>
            <w:pPr>
              <w:keepNext/>
              <w:spacing w:after="0" w:line="240" w:lineRule="auto"/>
              <w:jc w:val="right"/>
            </w:pPr>
            <w:r>
              <w:rPr>
                <w:b w:val="0"/>
                <w:sz w:val="19"/>
              </w:rPr>
              <w:t>35%</w:t>
            </w:r>
          </w:p>
        </w:tc>
        <w:tc>
          <w:tcPr>
            <w:tcW w:type="dxa" w:w="2016"/>
          </w:tcPr>
          <w:p>
            <w:pPr>
              <w:keepNext/>
              <w:spacing w:after="0" w:line="240" w:lineRule="auto"/>
              <w:jc w:val="right"/>
            </w:pPr>
            <w:r>
              <w:rPr>
                <w:b w:val="0"/>
                <w:sz w:val="19"/>
              </w:rPr>
              <w:t>401.5</w:t>
            </w:r>
          </w:p>
        </w:tc>
        <w:tc>
          <w:tcPr>
            <w:tcW w:type="dxa" w:w="1728"/>
          </w:tcPr>
          <w:p>
            <w:pPr>
              <w:keepNext/>
              <w:spacing w:after="0" w:line="240" w:lineRule="auto"/>
              <w:jc w:val="right"/>
            </w:pPr>
            <w:r>
              <w:rPr>
                <w:b w:val="0"/>
                <w:sz w:val="19"/>
              </w:rPr>
              <w:t>84%</w:t>
            </w:r>
          </w:p>
        </w:tc>
      </w:tr>
      <w:tr>
        <w:trPr>
          <w:cantSplit w:val="true"/>
        </w:trPr>
        <w:tc>
          <w:tcPr>
            <w:tcW w:type="dxa" w:w="2016"/>
            <w:shd w:val="clear" w:color="auto" w:fill="F5F2EF"/>
          </w:tcPr>
          <w:p>
            <w:pPr>
              <w:spacing w:after="0" w:line="240" w:lineRule="auto"/>
              <w:jc w:val="left"/>
            </w:pPr>
            <w:r>
              <w:rPr>
                <w:b w:val="0"/>
                <w:sz w:val="19"/>
              </w:rPr>
              <w:t>Week 5</w:t>
            </w:r>
          </w:p>
        </w:tc>
        <w:tc>
          <w:tcPr>
            <w:tcW w:type="dxa" w:w="1584"/>
            <w:shd w:val="clear" w:color="auto" w:fill="F5F2EF"/>
          </w:tcPr>
          <w:p>
            <w:pPr>
              <w:spacing w:after="0" w:line="240" w:lineRule="auto"/>
              <w:jc w:val="right"/>
            </w:pPr>
            <w:r>
              <w:rPr>
                <w:b w:val="0"/>
                <w:sz w:val="19"/>
              </w:rPr>
              <w:t>74.6</w:t>
            </w:r>
          </w:p>
        </w:tc>
        <w:tc>
          <w:tcPr>
            <w:tcW w:type="dxa" w:w="1872"/>
            <w:shd w:val="clear" w:color="auto" w:fill="F5F2EF"/>
          </w:tcPr>
          <w:p>
            <w:pPr>
              <w:spacing w:after="0" w:line="240" w:lineRule="auto"/>
              <w:jc w:val="right"/>
            </w:pPr>
            <w:r>
              <w:rPr>
                <w:b w:val="0"/>
                <w:sz w:val="19"/>
              </w:rPr>
              <w:t>35%</w:t>
            </w:r>
          </w:p>
        </w:tc>
        <w:tc>
          <w:tcPr>
            <w:tcW w:type="dxa" w:w="2016"/>
            <w:shd w:val="clear" w:color="auto" w:fill="F5F2EF"/>
          </w:tcPr>
          <w:p>
            <w:pPr>
              <w:spacing w:after="0" w:line="240" w:lineRule="auto"/>
              <w:jc w:val="right"/>
            </w:pPr>
            <w:r>
              <w:rPr>
                <w:b w:val="0"/>
                <w:sz w:val="19"/>
              </w:rPr>
              <w:t>476.0</w:t>
            </w:r>
          </w:p>
        </w:tc>
        <w:tc>
          <w:tcPr>
            <w:tcW w:type="dxa" w:w="1728"/>
            <w:shd w:val="clear" w:color="auto" w:fill="F5F2EF"/>
          </w:tcPr>
          <w:p>
            <w:pPr>
              <w:spacing w:after="0" w:line="240" w:lineRule="auto"/>
              <w:jc w:val="right"/>
            </w:pPr>
            <w:r>
              <w:rPr>
                <w:b w:val="0"/>
                <w:sz w:val="19"/>
              </w:rPr>
              <w:t>100%</w:t>
            </w:r>
          </w:p>
        </w:tc>
      </w:tr>
    </w:tbl>
    <w:p>
      <w:pPr>
        <w:spacing w:after="40" w:line="120" w:lineRule="auto"/>
      </w:pPr>
    </w:p>
    <w:p>
      <w:pPr>
        <w:spacing w:after="80"/>
        <w:jc w:val="left"/>
      </w:pPr>
      <w:r>
        <w:rPr>
          <w:b w:val="0"/>
          <w:i/>
          <w:sz w:val="19"/>
        </w:rPr>
        <w:t>The baseline is 213 units, the mean weekly sales of a store with no demo effect and no endcap.</w:t>
      </w:r>
    </w:p>
    <w:p>
      <w:r>
        <w:rPr>
          <w:b w:val="0"/>
        </w:rPr>
        <w:t>The lift therefore lasts at least five weeks. We cannot say when it ends, because Demo4-5 means four or more weeks after a demo and the data do not follow stores further. Adding up the weekly effects gives about 476 additional units per demo over six weeks (106.8 + 3 × 73.4 + 2 × 74.6), and less than a quarter of that arrives in the demo week itself. Judging demos by demo-week sales alone would understate their effect by a factor of more than four, which speaks directly to management’s worry that any increase is only temporary.</w:t>
      </w:r>
    </w:p>
    <w:p>
      <w:pPr>
        <w:keepNext/>
        <w:spacing w:after="20"/>
        <w:jc w:val="center"/>
      </w:pPr>
      <w:r>
        <w:drawing>
          <wp:inline xmlns:a="http://schemas.openxmlformats.org/drawingml/2006/main" xmlns:pic="http://schemas.openxmlformats.org/drawingml/2006/picture">
            <wp:extent cx="5212080" cy="2159290"/>
            <wp:docPr id="6" name="Picture 6"/>
            <wp:cNvGraphicFramePr>
              <a:graphicFrameLocks noChangeAspect="1"/>
            </wp:cNvGraphicFramePr>
            <a:graphic>
              <a:graphicData uri="http://schemas.openxmlformats.org/drawingml/2006/picture">
                <pic:pic>
                  <pic:nvPicPr>
                    <pic:cNvPr id="0" name="levers.png"/>
                    <pic:cNvPicPr/>
                  </pic:nvPicPr>
                  <pic:blipFill>
                    <a:blip r:embed="rId15"/>
                    <a:stretch>
                      <a:fillRect/>
                    </a:stretch>
                  </pic:blipFill>
                  <pic:spPr>
                    <a:xfrm>
                      <a:off x="0" y="0"/>
                      <a:ext cx="5212080" cy="2159290"/>
                    </a:xfrm>
                    <a:prstGeom prst="rect"/>
                  </pic:spPr>
                </pic:pic>
              </a:graphicData>
            </a:graphic>
          </wp:inline>
        </w:drawing>
      </w:r>
    </w:p>
    <w:p>
      <w:pPr>
        <w:spacing w:after="160"/>
        <w:jc w:val="center"/>
      </w:pPr>
      <w:r>
        <w:rPr>
          <w:b/>
          <w:color w:val="333333"/>
          <w:sz w:val="20"/>
        </w:rPr>
        <w:t>Figure 8.1: Effect of each lever in Model 3 with 95% intervals (left) and the demo lift by period (right)</w:t>
      </w:r>
    </w:p>
    <w:p>
      <w:pPr>
        <w:pStyle w:val="Heading2"/>
      </w:pPr>
      <w:r>
        <w:t>8.4 Question 4: Does placement within the store affect sales?</w:t>
      </w:r>
    </w:p>
    <w:p>
      <w:pPr>
        <w:keepNext/>
      </w:pPr>
      <w:r>
        <w:rPr>
          <w:b w:val="0"/>
        </w:rPr>
        <w:t>Yes, but only together with a regional sales rep. An endcap in a store with a rep is associated with about 454 additional units a week (95% interval 438 to 471), which more than doubles that store’s sales: 276 units without an endcap and 757 with one. In stores served only by the national rep it makes almost no difference (198 against 218 units). When plain Endcap is added back to Model 3 its coefficient is 0.6 (p = 0.96).</w:t>
      </w:r>
    </w:p>
    <w:p>
      <w:pPr>
        <w:keepNext/>
        <w:spacing w:before="120" w:after="60"/>
        <w:jc w:val="left"/>
      </w:pPr>
      <w:r>
        <w:rPr>
          <w:b/>
          <w:color w:val="333333"/>
          <w:sz w:val="20"/>
        </w:rPr>
        <w:t>Table 8.3: Mean weekly units by sales rep coverage and endcap status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2880"/>
        <w:gridCol w:w="2304"/>
        <w:gridCol w:w="2304"/>
        <w:gridCol w:w="1728"/>
      </w:tblGrid>
      <w:tr>
        <w:trPr>
          <w:tblHeader w:val="true"/>
          <w:cantSplit w:val="true"/>
        </w:trPr>
        <w:tc>
          <w:tcPr>
            <w:tcW w:type="dxa" w:w="2880"/>
            <w:shd w:val="clear" w:color="auto" w:fill="6B1B28"/>
          </w:tcPr>
          <w:p>
            <w:pPr>
              <w:keepNext/>
              <w:spacing w:after="0" w:line="240" w:lineRule="auto"/>
              <w:jc w:val="left"/>
            </w:pPr>
            <w:r>
              <w:rPr>
                <w:b/>
                <w:color w:val="FFFFFF"/>
                <w:sz w:val="19"/>
              </w:rPr>
            </w:r>
          </w:p>
        </w:tc>
        <w:tc>
          <w:tcPr>
            <w:tcW w:type="dxa" w:w="2304"/>
            <w:shd w:val="clear" w:color="auto" w:fill="6B1B28"/>
          </w:tcPr>
          <w:p>
            <w:pPr>
              <w:keepNext/>
              <w:spacing w:after="0" w:line="240" w:lineRule="auto"/>
              <w:jc w:val="right"/>
            </w:pPr>
            <w:r>
              <w:rPr>
                <w:b/>
                <w:color w:val="FFFFFF"/>
                <w:sz w:val="19"/>
              </w:rPr>
              <w:t>No endcap</w:t>
            </w:r>
          </w:p>
        </w:tc>
        <w:tc>
          <w:tcPr>
            <w:tcW w:type="dxa" w:w="2304"/>
            <w:shd w:val="clear" w:color="auto" w:fill="6B1B28"/>
          </w:tcPr>
          <w:p>
            <w:pPr>
              <w:keepNext/>
              <w:spacing w:after="0" w:line="240" w:lineRule="auto"/>
              <w:jc w:val="right"/>
            </w:pPr>
            <w:r>
              <w:rPr>
                <w:b/>
                <w:color w:val="FFFFFF"/>
                <w:sz w:val="19"/>
              </w:rPr>
              <w:t>Endcap</w:t>
            </w:r>
          </w:p>
        </w:tc>
        <w:tc>
          <w:tcPr>
            <w:tcW w:type="dxa" w:w="1728"/>
            <w:shd w:val="clear" w:color="auto" w:fill="6B1B28"/>
          </w:tcPr>
          <w:p>
            <w:pPr>
              <w:keepNext/>
              <w:spacing w:after="0" w:line="240" w:lineRule="auto"/>
              <w:jc w:val="right"/>
            </w:pPr>
            <w:r>
              <w:rPr>
                <w:b/>
                <w:color w:val="FFFFFF"/>
                <w:sz w:val="19"/>
              </w:rPr>
              <w:t>Difference</w:t>
            </w:r>
          </w:p>
        </w:tc>
      </w:tr>
      <w:tr>
        <w:trPr>
          <w:cantSplit w:val="true"/>
        </w:trPr>
        <w:tc>
          <w:tcPr>
            <w:tcW w:type="dxa" w:w="2880"/>
          </w:tcPr>
          <w:p>
            <w:pPr>
              <w:keepNext/>
              <w:spacing w:after="0" w:line="240" w:lineRule="auto"/>
              <w:jc w:val="left"/>
            </w:pPr>
            <w:r>
              <w:rPr>
                <w:b w:val="0"/>
                <w:sz w:val="19"/>
              </w:rPr>
              <w:t>No regional sales rep</w:t>
            </w:r>
          </w:p>
        </w:tc>
        <w:tc>
          <w:tcPr>
            <w:tcW w:type="dxa" w:w="2304"/>
          </w:tcPr>
          <w:p>
            <w:pPr>
              <w:keepNext/>
              <w:spacing w:after="0" w:line="240" w:lineRule="auto"/>
              <w:jc w:val="right"/>
            </w:pPr>
            <w:r>
              <w:rPr>
                <w:b w:val="0"/>
                <w:sz w:val="19"/>
              </w:rPr>
              <w:t>198.2 (n = 607)</w:t>
            </w:r>
          </w:p>
        </w:tc>
        <w:tc>
          <w:tcPr>
            <w:tcW w:type="dxa" w:w="2304"/>
          </w:tcPr>
          <w:p>
            <w:pPr>
              <w:keepNext/>
              <w:spacing w:after="0" w:line="240" w:lineRule="auto"/>
              <w:jc w:val="right"/>
            </w:pPr>
            <w:r>
              <w:rPr>
                <w:b w:val="0"/>
                <w:sz w:val="19"/>
              </w:rPr>
              <w:t>217.6 (n = 17)</w:t>
            </w:r>
          </w:p>
        </w:tc>
        <w:tc>
          <w:tcPr>
            <w:tcW w:type="dxa" w:w="1728"/>
          </w:tcPr>
          <w:p>
            <w:pPr>
              <w:keepNext/>
              <w:spacing w:after="0" w:line="240" w:lineRule="auto"/>
              <w:jc w:val="right"/>
            </w:pPr>
            <w:r>
              <w:rPr>
                <w:b w:val="0"/>
                <w:sz w:val="19"/>
              </w:rPr>
              <w:t>+19.4</w:t>
            </w:r>
          </w:p>
        </w:tc>
      </w:tr>
      <w:tr>
        <w:trPr>
          <w:cantSplit w:val="true"/>
        </w:trPr>
        <w:tc>
          <w:tcPr>
            <w:tcW w:type="dxa" w:w="2880"/>
            <w:shd w:val="clear" w:color="auto" w:fill="F5F2EF"/>
          </w:tcPr>
          <w:p>
            <w:pPr>
              <w:spacing w:after="0" w:line="240" w:lineRule="auto"/>
              <w:jc w:val="left"/>
            </w:pPr>
            <w:r>
              <w:rPr>
                <w:b w:val="0"/>
                <w:sz w:val="19"/>
              </w:rPr>
              <w:t>Regional sales rep</w:t>
            </w:r>
          </w:p>
        </w:tc>
        <w:tc>
          <w:tcPr>
            <w:tcW w:type="dxa" w:w="2304"/>
            <w:shd w:val="clear" w:color="auto" w:fill="F5F2EF"/>
          </w:tcPr>
          <w:p>
            <w:pPr>
              <w:spacing w:after="0" w:line="240" w:lineRule="auto"/>
              <w:jc w:val="right"/>
            </w:pPr>
            <w:r>
              <w:rPr>
                <w:b w:val="0"/>
                <w:sz w:val="19"/>
              </w:rPr>
              <w:t>276.2 (n = 726)</w:t>
            </w:r>
          </w:p>
        </w:tc>
        <w:tc>
          <w:tcPr>
            <w:tcW w:type="dxa" w:w="2304"/>
            <w:shd w:val="clear" w:color="auto" w:fill="F5F2EF"/>
          </w:tcPr>
          <w:p>
            <w:pPr>
              <w:spacing w:after="0" w:line="240" w:lineRule="auto"/>
              <w:jc w:val="right"/>
            </w:pPr>
            <w:r>
              <w:rPr>
                <w:b w:val="0"/>
                <w:sz w:val="19"/>
              </w:rPr>
              <w:t>756.9 (n = 36)</w:t>
            </w:r>
          </w:p>
        </w:tc>
        <w:tc>
          <w:tcPr>
            <w:tcW w:type="dxa" w:w="1728"/>
            <w:shd w:val="clear" w:color="auto" w:fill="F5F2EF"/>
          </w:tcPr>
          <w:p>
            <w:pPr>
              <w:spacing w:after="0" w:line="240" w:lineRule="auto"/>
              <w:jc w:val="right"/>
            </w:pPr>
            <w:r>
              <w:rPr>
                <w:b w:val="0"/>
                <w:sz w:val="19"/>
              </w:rPr>
              <w:t>+480.7</w:t>
            </w:r>
          </w:p>
        </w:tc>
      </w:tr>
    </w:tbl>
    <w:p>
      <w:pPr>
        <w:spacing w:after="40" w:line="120" w:lineRule="auto"/>
      </w:pPr>
    </w:p>
    <w:p>
      <w:r>
        <w:rPr>
          <w:b w:val="0"/>
        </w:rPr>
        <w:t>Placement on its own is therefore not what drives sales. Models 1 and 2 reported a single endcap effect of about +305 units, but that figure is an average of a very large effect and almost none (454 × 36/53 = 309), and it is right for neither group. Placement does not interact with demos or with price either (p = 0.27 for Endcap × Demo, 0.91 for Endcap × Demo1-3 and 0.87 for Price × Endcap). One caution: the result for stores without a rep comes from three stores and 17 store-weeks, so we treat it as a strong indication and not a settled fact.</w:t>
      </w:r>
    </w:p>
    <w:p>
      <w:pPr>
        <w:pStyle w:val="Heading2"/>
      </w:pPr>
      <w:r>
        <w:t>8.5 Question 5: Suggestions to improve the model</w:t>
      </w:r>
    </w:p>
    <w:p>
      <w:pPr>
        <w:keepNext/>
      </w:pPr>
      <w:r>
        <w:rPr>
          <w:b w:val="0"/>
        </w:rPr>
        <w:t>Within the data we tested the obvious refinements, and none improves Model 3 (Table 8.4). The partial F-tests compare Model 3 with the same model plus the extra terms.</w:t>
      </w:r>
    </w:p>
    <w:p>
      <w:pPr>
        <w:keepNext/>
        <w:spacing w:before="120" w:after="60"/>
        <w:jc w:val="left"/>
      </w:pPr>
      <w:r>
        <w:rPr>
          <w:b/>
          <w:color w:val="333333"/>
          <w:sz w:val="20"/>
        </w:rPr>
        <w:t>Table 8.4: Refinements tested (Model 3 adjusted R² = 0.805)</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4608"/>
        <w:gridCol w:w="1440"/>
        <w:gridCol w:w="1440"/>
        <w:gridCol w:w="1440"/>
      </w:tblGrid>
      <w:tr>
        <w:trPr>
          <w:tblHeader w:val="true"/>
          <w:cantSplit w:val="true"/>
        </w:trPr>
        <w:tc>
          <w:tcPr>
            <w:tcW w:type="dxa" w:w="4608"/>
            <w:shd w:val="clear" w:color="auto" w:fill="6B1B28"/>
          </w:tcPr>
          <w:p>
            <w:pPr>
              <w:keepNext/>
              <w:spacing w:after="0" w:line="240" w:lineRule="auto"/>
              <w:jc w:val="left"/>
            </w:pPr>
            <w:r>
              <w:rPr>
                <w:b/>
                <w:color w:val="FFFFFF"/>
                <w:sz w:val="19"/>
              </w:rPr>
              <w:t>Refinement added to Model 3</w:t>
            </w:r>
          </w:p>
        </w:tc>
        <w:tc>
          <w:tcPr>
            <w:tcW w:type="dxa" w:w="1440"/>
            <w:shd w:val="clear" w:color="auto" w:fill="6B1B28"/>
          </w:tcPr>
          <w:p>
            <w:pPr>
              <w:keepNext/>
              <w:spacing w:after="0" w:line="240" w:lineRule="auto"/>
              <w:jc w:val="right"/>
            </w:pPr>
            <w:r>
              <w:rPr>
                <w:b/>
                <w:color w:val="FFFFFF"/>
                <w:sz w:val="19"/>
              </w:rPr>
              <w:t>Partial F</w:t>
            </w:r>
          </w:p>
        </w:tc>
        <w:tc>
          <w:tcPr>
            <w:tcW w:type="dxa" w:w="1440"/>
            <w:shd w:val="clear" w:color="auto" w:fill="6B1B28"/>
          </w:tcPr>
          <w:p>
            <w:pPr>
              <w:keepNext/>
              <w:spacing w:after="0" w:line="240" w:lineRule="auto"/>
              <w:jc w:val="right"/>
            </w:pPr>
            <w:r>
              <w:rPr>
                <w:b/>
                <w:color w:val="FFFFFF"/>
                <w:sz w:val="19"/>
              </w:rPr>
              <w:t>p-value</w:t>
            </w:r>
          </w:p>
        </w:tc>
        <w:tc>
          <w:tcPr>
            <w:tcW w:type="dxa" w:w="1440"/>
            <w:shd w:val="clear" w:color="auto" w:fill="6B1B28"/>
          </w:tcPr>
          <w:p>
            <w:pPr>
              <w:keepNext/>
              <w:spacing w:after="0" w:line="240" w:lineRule="auto"/>
              <w:jc w:val="right"/>
            </w:pPr>
            <w:r>
              <w:rPr>
                <w:b/>
                <w:color w:val="FFFFFF"/>
                <w:sz w:val="19"/>
              </w:rPr>
              <w:t>Adj. R²</w:t>
            </w:r>
          </w:p>
        </w:tc>
      </w:tr>
      <w:tr>
        <w:trPr>
          <w:cantSplit w:val="true"/>
        </w:trPr>
        <w:tc>
          <w:tcPr>
            <w:tcW w:type="dxa" w:w="4608"/>
          </w:tcPr>
          <w:p>
            <w:pPr>
              <w:keepNext/>
              <w:spacing w:after="0" w:line="240" w:lineRule="auto"/>
              <w:jc w:val="left"/>
            </w:pPr>
            <w:r>
              <w:rPr>
                <w:b w:val="0"/>
                <w:sz w:val="19"/>
              </w:rPr>
              <w:t>Natural and Fitness</w:t>
            </w:r>
          </w:p>
        </w:tc>
        <w:tc>
          <w:tcPr>
            <w:tcW w:type="dxa" w:w="1440"/>
          </w:tcPr>
          <w:p>
            <w:pPr>
              <w:keepNext/>
              <w:spacing w:after="0" w:line="240" w:lineRule="auto"/>
              <w:jc w:val="right"/>
            </w:pPr>
            <w:r>
              <w:rPr>
                <w:b w:val="0"/>
                <w:sz w:val="19"/>
              </w:rPr>
              <w:t>0.04</w:t>
            </w:r>
          </w:p>
        </w:tc>
        <w:tc>
          <w:tcPr>
            <w:tcW w:type="dxa" w:w="1440"/>
          </w:tcPr>
          <w:p>
            <w:pPr>
              <w:keepNext/>
              <w:spacing w:after="0" w:line="240" w:lineRule="auto"/>
              <w:jc w:val="right"/>
            </w:pPr>
            <w:r>
              <w:rPr>
                <w:b w:val="0"/>
                <w:sz w:val="19"/>
              </w:rPr>
              <w:t>0.96</w:t>
            </w:r>
          </w:p>
        </w:tc>
        <w:tc>
          <w:tcPr>
            <w:tcW w:type="dxa" w:w="1440"/>
          </w:tcPr>
          <w:p>
            <w:pPr>
              <w:keepNext/>
              <w:spacing w:after="0" w:line="240" w:lineRule="auto"/>
              <w:jc w:val="right"/>
            </w:pPr>
            <w:r>
              <w:rPr>
                <w:b w:val="0"/>
                <w:sz w:val="19"/>
              </w:rPr>
              <w:t>0.805</w:t>
            </w:r>
          </w:p>
        </w:tc>
      </w:tr>
      <w:tr>
        <w:trPr>
          <w:cantSplit w:val="true"/>
        </w:trPr>
        <w:tc>
          <w:tcPr>
            <w:tcW w:type="dxa" w:w="4608"/>
            <w:shd w:val="clear" w:color="auto" w:fill="F5F2EF"/>
          </w:tcPr>
          <w:p>
            <w:pPr>
              <w:keepNext/>
              <w:spacing w:after="0" w:line="240" w:lineRule="auto"/>
              <w:jc w:val="left"/>
            </w:pPr>
            <w:r>
              <w:rPr>
                <w:b w:val="0"/>
                <w:sz w:val="19"/>
              </w:rPr>
              <w:t>Region dummies</w:t>
            </w:r>
          </w:p>
        </w:tc>
        <w:tc>
          <w:tcPr>
            <w:tcW w:type="dxa" w:w="1440"/>
            <w:shd w:val="clear" w:color="auto" w:fill="F5F2EF"/>
          </w:tcPr>
          <w:p>
            <w:pPr>
              <w:keepNext/>
              <w:spacing w:after="0" w:line="240" w:lineRule="auto"/>
              <w:jc w:val="right"/>
            </w:pPr>
            <w:r>
              <w:rPr>
                <w:b w:val="0"/>
                <w:sz w:val="19"/>
              </w:rPr>
              <w:t>0.89</w:t>
            </w:r>
          </w:p>
        </w:tc>
        <w:tc>
          <w:tcPr>
            <w:tcW w:type="dxa" w:w="1440"/>
            <w:shd w:val="clear" w:color="auto" w:fill="F5F2EF"/>
          </w:tcPr>
          <w:p>
            <w:pPr>
              <w:keepNext/>
              <w:spacing w:after="0" w:line="240" w:lineRule="auto"/>
              <w:jc w:val="right"/>
            </w:pPr>
            <w:r>
              <w:rPr>
                <w:b w:val="0"/>
                <w:sz w:val="19"/>
              </w:rPr>
              <w:t>0.54</w:t>
            </w:r>
          </w:p>
        </w:tc>
        <w:tc>
          <w:tcPr>
            <w:tcW w:type="dxa" w:w="1440"/>
            <w:shd w:val="clear" w:color="auto" w:fill="F5F2EF"/>
          </w:tcPr>
          <w:p>
            <w:pPr>
              <w:keepNext/>
              <w:spacing w:after="0" w:line="240" w:lineRule="auto"/>
              <w:jc w:val="right"/>
            </w:pPr>
            <w:r>
              <w:rPr>
                <w:b w:val="0"/>
                <w:sz w:val="19"/>
              </w:rPr>
              <w:t>0.805</w:t>
            </w:r>
          </w:p>
        </w:tc>
      </w:tr>
      <w:tr>
        <w:trPr>
          <w:cantSplit w:val="true"/>
        </w:trPr>
        <w:tc>
          <w:tcPr>
            <w:tcW w:type="dxa" w:w="4608"/>
          </w:tcPr>
          <w:p>
            <w:pPr>
              <w:keepNext/>
              <w:spacing w:after="0" w:line="240" w:lineRule="auto"/>
              <w:jc w:val="left"/>
            </w:pPr>
            <w:r>
              <w:rPr>
                <w:b w:val="0"/>
                <w:sz w:val="19"/>
              </w:rPr>
              <w:t>Price squared</w:t>
            </w:r>
          </w:p>
        </w:tc>
        <w:tc>
          <w:tcPr>
            <w:tcW w:type="dxa" w:w="1440"/>
          </w:tcPr>
          <w:p>
            <w:pPr>
              <w:keepNext/>
              <w:spacing w:after="0" w:line="240" w:lineRule="auto"/>
              <w:jc w:val="right"/>
            </w:pPr>
            <w:r>
              <w:rPr>
                <w:b w:val="0"/>
                <w:sz w:val="19"/>
              </w:rPr>
              <w:t>0.09</w:t>
            </w:r>
          </w:p>
        </w:tc>
        <w:tc>
          <w:tcPr>
            <w:tcW w:type="dxa" w:w="1440"/>
          </w:tcPr>
          <w:p>
            <w:pPr>
              <w:keepNext/>
              <w:spacing w:after="0" w:line="240" w:lineRule="auto"/>
              <w:jc w:val="right"/>
            </w:pPr>
            <w:r>
              <w:rPr>
                <w:b w:val="0"/>
                <w:sz w:val="19"/>
              </w:rPr>
              <w:t>0.77</w:t>
            </w:r>
          </w:p>
        </w:tc>
        <w:tc>
          <w:tcPr>
            <w:tcW w:type="dxa" w:w="1440"/>
          </w:tcPr>
          <w:p>
            <w:pPr>
              <w:keepNext/>
              <w:spacing w:after="0" w:line="240" w:lineRule="auto"/>
              <w:jc w:val="right"/>
            </w:pPr>
            <w:r>
              <w:rPr>
                <w:b w:val="0"/>
                <w:sz w:val="19"/>
              </w:rPr>
              <w:t>0.805</w:t>
            </w:r>
          </w:p>
        </w:tc>
      </w:tr>
      <w:tr>
        <w:trPr>
          <w:cantSplit w:val="true"/>
        </w:trPr>
        <w:tc>
          <w:tcPr>
            <w:tcW w:type="dxa" w:w="4608"/>
            <w:shd w:val="clear" w:color="auto" w:fill="F5F2EF"/>
          </w:tcPr>
          <w:p>
            <w:pPr>
              <w:keepNext/>
              <w:spacing w:after="0" w:line="240" w:lineRule="auto"/>
              <w:jc w:val="left"/>
            </w:pPr>
            <w:r>
              <w:rPr>
                <w:b w:val="0"/>
                <w:sz w:val="19"/>
              </w:rPr>
              <w:t>Week trend</w:t>
            </w:r>
          </w:p>
        </w:tc>
        <w:tc>
          <w:tcPr>
            <w:tcW w:type="dxa" w:w="1440"/>
            <w:shd w:val="clear" w:color="auto" w:fill="F5F2EF"/>
          </w:tcPr>
          <w:p>
            <w:pPr>
              <w:keepNext/>
              <w:spacing w:after="0" w:line="240" w:lineRule="auto"/>
              <w:jc w:val="right"/>
            </w:pPr>
            <w:r>
              <w:rPr>
                <w:b w:val="0"/>
                <w:sz w:val="19"/>
              </w:rPr>
              <w:t>0.34</w:t>
            </w:r>
          </w:p>
        </w:tc>
        <w:tc>
          <w:tcPr>
            <w:tcW w:type="dxa" w:w="1440"/>
            <w:shd w:val="clear" w:color="auto" w:fill="F5F2EF"/>
          </w:tcPr>
          <w:p>
            <w:pPr>
              <w:keepNext/>
              <w:spacing w:after="0" w:line="240" w:lineRule="auto"/>
              <w:jc w:val="right"/>
            </w:pPr>
            <w:r>
              <w:rPr>
                <w:b w:val="0"/>
                <w:sz w:val="19"/>
              </w:rPr>
              <w:t>0.56</w:t>
            </w:r>
          </w:p>
        </w:tc>
        <w:tc>
          <w:tcPr>
            <w:tcW w:type="dxa" w:w="1440"/>
            <w:shd w:val="clear" w:color="auto" w:fill="F5F2EF"/>
          </w:tcPr>
          <w:p>
            <w:pPr>
              <w:keepNext/>
              <w:spacing w:after="0" w:line="240" w:lineRule="auto"/>
              <w:jc w:val="right"/>
            </w:pPr>
            <w:r>
              <w:rPr>
                <w:b w:val="0"/>
                <w:sz w:val="19"/>
              </w:rPr>
              <w:t>0.805</w:t>
            </w:r>
          </w:p>
        </w:tc>
      </w:tr>
      <w:tr>
        <w:trPr>
          <w:cantSplit w:val="true"/>
        </w:trPr>
        <w:tc>
          <w:tcPr>
            <w:tcW w:type="dxa" w:w="4608"/>
          </w:tcPr>
          <w:p>
            <w:pPr>
              <w:spacing w:after="0" w:line="240" w:lineRule="auto"/>
              <w:jc w:val="left"/>
            </w:pPr>
            <w:r>
              <w:rPr>
                <w:b w:val="0"/>
                <w:sz w:val="19"/>
              </w:rPr>
              <w:t>Store dummies (fixed effects)</w:t>
            </w:r>
          </w:p>
        </w:tc>
        <w:tc>
          <w:tcPr>
            <w:tcW w:type="dxa" w:w="1440"/>
          </w:tcPr>
          <w:p>
            <w:pPr>
              <w:spacing w:after="0" w:line="240" w:lineRule="auto"/>
              <w:jc w:val="right"/>
            </w:pPr>
            <w:r>
              <w:rPr>
                <w:b w:val="0"/>
                <w:sz w:val="19"/>
              </w:rPr>
              <w:t>0.81</w:t>
            </w:r>
          </w:p>
        </w:tc>
        <w:tc>
          <w:tcPr>
            <w:tcW w:type="dxa" w:w="1440"/>
          </w:tcPr>
          <w:p>
            <w:pPr>
              <w:spacing w:after="0" w:line="240" w:lineRule="auto"/>
              <w:jc w:val="right"/>
            </w:pPr>
            <w:r>
              <w:rPr>
                <w:b w:val="0"/>
                <w:sz w:val="19"/>
              </w:rPr>
              <w:t>0.94</w:t>
            </w:r>
          </w:p>
        </w:tc>
        <w:tc>
          <w:tcPr>
            <w:tcW w:type="dxa" w:w="1440"/>
          </w:tcPr>
          <w:p>
            <w:pPr>
              <w:spacing w:after="0" w:line="240" w:lineRule="auto"/>
              <w:jc w:val="right"/>
            </w:pPr>
            <w:r>
              <w:rPr>
                <w:b w:val="0"/>
                <w:sz w:val="19"/>
              </w:rPr>
              <w:t>0.802</w:t>
            </w:r>
          </w:p>
        </w:tc>
      </w:tr>
    </w:tbl>
    <w:p>
      <w:pPr>
        <w:spacing w:after="40" w:line="120" w:lineRule="auto"/>
      </w:pPr>
    </w:p>
    <w:p>
      <w:pPr>
        <w:keepNext/>
        <w:spacing w:after="40"/>
      </w:pPr>
      <w:r>
        <w:rPr>
          <w:b w:val="0"/>
        </w:rPr>
        <w:t>Improvements that need new data or a different method:</w:t>
      </w:r>
    </w:p>
    <w:p>
      <w:pPr>
        <w:pStyle w:val="ListBullet"/>
        <w:spacing w:after="60"/>
        <w:ind w:left="432" w:hanging="317"/>
      </w:pPr>
      <w:r>
        <w:rPr>
          <w:b w:val="0"/>
          <w:sz w:val="22"/>
        </w:rPr>
        <w:t>Add store traffic and size. The case says demos work only in stores with enough foot traffic, and this is the most likely omitted variable.</w:t>
      </w:r>
    </w:p>
    <w:p>
      <w:pPr>
        <w:pStyle w:val="ListBullet"/>
        <w:spacing w:after="60"/>
        <w:ind w:left="432" w:hanging="317"/>
      </w:pPr>
      <w:r>
        <w:rPr>
          <w:b w:val="0"/>
          <w:sz w:val="22"/>
        </w:rPr>
        <w:t>Use store and week identifiers in a mixed model with a store effect, which would deal directly with the repeated observations, and control for seasonality across May to July.</w:t>
      </w:r>
    </w:p>
    <w:p>
      <w:pPr>
        <w:pStyle w:val="ListBullet"/>
        <w:spacing w:after="60"/>
        <w:ind w:left="432" w:hanging="317"/>
      </w:pPr>
      <w:r>
        <w:rPr>
          <w:b w:val="0"/>
          <w:sz w:val="22"/>
        </w:rPr>
        <w:t>Extend the demo lags beyond five weeks and split the bands into single weeks, to find where the lift actually ends.</w:t>
      </w:r>
    </w:p>
    <w:p>
      <w:pPr>
        <w:pStyle w:val="ListBullet"/>
        <w:spacing w:after="60"/>
        <w:ind w:left="432" w:hanging="317"/>
      </w:pPr>
      <w:r>
        <w:rPr>
          <w:b w:val="0"/>
          <w:sz w:val="22"/>
        </w:rPr>
        <w:t>Allow for how stores were chosen. Demos and endcaps were not assigned at random: 69 of the 81 demo weeks were in stores with a regional rep. If promotions go to stores that already sell well, the coefficients overstate their effect, and a planned test with comparable control stores would settle this.</w:t>
      </w:r>
    </w:p>
    <w:p>
      <w:pPr>
        <w:pStyle w:val="ListBullet"/>
        <w:spacing w:after="60"/>
        <w:ind w:left="432" w:hanging="317"/>
      </w:pPr>
      <w:r>
        <w:rPr>
          <w:b w:val="0"/>
          <w:sz w:val="22"/>
        </w:rPr>
        <w:t>Test more endcaps in stores without a regional rep, so that the no-rep result no longer rests on three stores.</w:t>
      </w:r>
    </w:p>
    <w:p>
      <w:pPr>
        <w:pStyle w:val="ListBullet"/>
        <w:spacing w:after="60"/>
        <w:ind w:left="432" w:hanging="317"/>
      </w:pPr>
      <w:r>
        <w:rPr>
          <w:b w:val="0"/>
          <w:sz w:val="22"/>
        </w:rPr>
        <w:t>Add cost and margin data for a demo, an endcap and a regional rep. Without them the model measures lift in units but cannot measure return on spend.</w:t>
      </w:r>
    </w:p>
    <w:p>
      <w:pPr>
        <w:pStyle w:val="Heading2"/>
      </w:pPr>
      <w:r>
        <w:t>8.6 Question 6: Managerial implications and recommendations</w:t>
      </w:r>
    </w:p>
    <w:p>
      <w:pPr>
        <w:keepNext/>
      </w:pPr>
      <w:r>
        <w:rPr>
          <w:b w:val="0"/>
        </w:rPr>
        <w:t>Our analysis answers two of management’s three doubts. Demos do boost sales, and the increase is not temporary. The third doubt, whether the lift justifies the cost, cannot be answered from this data because it contains no costs. With that in mind we recommend the following.</w:t>
      </w:r>
    </w:p>
    <w:p>
      <w:pPr>
        <w:pStyle w:val="ListNumber"/>
        <w:spacing w:after="60"/>
        <w:ind w:left="432" w:hanging="317"/>
      </w:pPr>
      <w:r>
        <w:rPr>
          <w:b/>
          <w:sz w:val="22"/>
        </w:rPr>
        <w:t>Keep the demo programme.</w:t>
      </w:r>
      <w:r>
        <w:rPr>
          <w:b w:val="0"/>
          <w:sz w:val="22"/>
        </w:rPr>
        <w:t xml:space="preserve"> Each demo is associated with roughly 476 additional units over six weeks, and we see no sign of the lift fading in that time.</w:t>
      </w:r>
    </w:p>
    <w:p>
      <w:pPr>
        <w:pStyle w:val="ListNumber"/>
        <w:spacing w:after="60"/>
        <w:ind w:left="432" w:hanging="317"/>
      </w:pPr>
      <w:r>
        <w:rPr>
          <w:b/>
          <w:sz w:val="22"/>
        </w:rPr>
        <w:t>Evaluate demos over six weeks, not one.</w:t>
      </w:r>
      <w:r>
        <w:rPr>
          <w:b w:val="0"/>
          <w:sz w:val="22"/>
        </w:rPr>
        <w:t xml:space="preserve"> About three quarters of the lift arrives after the demo week, so any cost-benefit calculation should use the full six-week figure.</w:t>
      </w:r>
    </w:p>
    <w:p>
      <w:pPr>
        <w:pStyle w:val="ListNumber"/>
        <w:spacing w:after="60"/>
        <w:ind w:left="432" w:hanging="317"/>
      </w:pPr>
      <w:r>
        <w:rPr>
          <w:b/>
          <w:sz w:val="22"/>
        </w:rPr>
        <w:t>Run endcaps only where a regional sales rep is present.</w:t>
      </w:r>
      <w:r>
        <w:rPr>
          <w:b w:val="0"/>
          <w:sz w:val="22"/>
        </w:rPr>
        <w:t xml:space="preserve"> An endcap with a rep is the single most effective action in the data, while an endcap without one shows almost no return. The endcap competition should concentrate on stores with face-to-face rep coverage.</w:t>
      </w:r>
    </w:p>
    <w:p>
      <w:pPr>
        <w:pStyle w:val="ListNumber"/>
        <w:spacing w:after="60"/>
        <w:ind w:left="432" w:hanging="317"/>
      </w:pPr>
      <w:r>
        <w:rPr>
          <w:b/>
          <w:sz w:val="22"/>
        </w:rPr>
        <w:t>Treat regional rep coverage as an investment.</w:t>
      </w:r>
      <w:r>
        <w:rPr>
          <w:b w:val="0"/>
          <w:sz w:val="22"/>
        </w:rPr>
        <w:t xml:space="preserve"> A rep is worth about 59 units a week alone and is also what makes an endcap work. Extending coverage to stores that are candidates for endcaps is likely to pay better than adding endcaps in stores without coverage.</w:t>
      </w:r>
    </w:p>
    <w:p>
      <w:pPr>
        <w:pStyle w:val="ListNumber"/>
        <w:spacing w:after="60"/>
        <w:ind w:left="432" w:hanging="317"/>
      </w:pPr>
      <w:r>
        <w:rPr>
          <w:b/>
          <w:sz w:val="22"/>
        </w:rPr>
        <w:t>Do not rely on price cuts for volume.</w:t>
      </w:r>
      <w:r>
        <w:rPr>
          <w:b w:val="0"/>
          <w:sz w:val="22"/>
        </w:rPr>
        <w:t xml:space="preserve"> With an elasticity of about -0.36, units rise less than proportionally when the price falls, so revenue falls.</w:t>
      </w:r>
    </w:p>
    <w:p>
      <w:pPr>
        <w:pStyle w:val="ListNumber"/>
        <w:spacing w:after="60"/>
        <w:ind w:left="432" w:hanging="317"/>
      </w:pPr>
      <w:r>
        <w:rPr>
          <w:b/>
          <w:sz w:val="22"/>
        </w:rPr>
        <w:t>Close the cost gap before the budget decision.</w:t>
      </w:r>
      <w:r>
        <w:rPr>
          <w:b w:val="0"/>
          <w:sz w:val="22"/>
        </w:rPr>
        <w:t xml:space="preserve"> A demo pays back if it costs less than 476 units times the margin per unit. Marketing should provide the cost of a demo, an endcap and a rep so that this can be worked out.</w:t>
      </w:r>
    </w:p>
    <w:p>
      <w:pPr>
        <w:pStyle w:val="ListNumber"/>
        <w:spacing w:after="60"/>
        <w:ind w:left="432" w:hanging="317"/>
      </w:pPr>
      <w:r>
        <w:rPr>
          <w:b/>
          <w:sz w:val="22"/>
        </w:rPr>
        <w:t>Confirm with a controlled test.</w:t>
      </w:r>
      <w:r>
        <w:rPr>
          <w:b w:val="0"/>
          <w:sz w:val="22"/>
        </w:rPr>
        <w:t xml:space="preserve"> Our results are associations from 11 weeks of data in which promotions were not randomly assigned. A small planned test, especially of endcaps in more stores without a regional rep, would confirm them before the budget is reallocated.</w:t>
      </w:r>
    </w:p>
    <w:p>
      <w:pPr>
        <w:pStyle w:val="Heading1"/>
        <w:pBdr>
          <w:bottom w:val="single" w:sz="6" w:space="2" w:color="7A1E2E"/>
        </w:pBdr>
      </w:pPr>
      <w:r>
        <w:t>9. Key Learnings</w:t>
      </w:r>
    </w:p>
    <w:p>
      <w:pPr>
        <w:pStyle w:val="ListBullet"/>
        <w:spacing w:after="60"/>
        <w:ind w:left="432" w:hanging="317"/>
      </w:pPr>
      <w:r>
        <w:rPr>
          <w:b/>
          <w:sz w:val="22"/>
        </w:rPr>
        <w:t>A high R² does not make a model correct.</w:t>
      </w:r>
      <w:r>
        <w:rPr>
          <w:b w:val="0"/>
          <w:sz w:val="22"/>
        </w:rPr>
        <w:t xml:space="preserve"> Model 1 explained 67% of the variation and almost every coefficient was significant, but it failed the assumptions. We learned to read the residuals before trusting the fit.</w:t>
      </w:r>
    </w:p>
    <w:p>
      <w:pPr>
        <w:pStyle w:val="ListBullet"/>
        <w:spacing w:after="60"/>
        <w:ind w:left="432" w:hanging="317"/>
      </w:pPr>
      <w:r>
        <w:rPr>
          <w:b/>
          <w:sz w:val="22"/>
        </w:rPr>
        <w:t>Extreme residuals are information, not noise.</w:t>
      </w:r>
      <w:r>
        <w:rPr>
          <w:b w:val="0"/>
          <w:sz w:val="22"/>
        </w:rPr>
        <w:t xml:space="preserve"> The 23 residuals beyond three standard deviations looked like outliers. Deleting them would have discarded the most important finding in the case; asking what they had in common revealed the missing interaction.</w:t>
      </w:r>
    </w:p>
    <w:p>
      <w:pPr>
        <w:pStyle w:val="ListBullet"/>
        <w:spacing w:after="60"/>
        <w:ind w:left="432" w:hanging="317"/>
      </w:pPr>
      <w:r>
        <w:rPr>
          <w:b/>
          <w:sz w:val="22"/>
        </w:rPr>
        <w:t>One cause can break several assumptions at once.</w:t>
      </w:r>
      <w:r>
        <w:rPr>
          <w:b w:val="0"/>
          <w:sz w:val="22"/>
        </w:rPr>
        <w:t xml:space="preserve"> Linearity, constant variance, independence and normality all failed for the same reason, and one added term fixed them together. A transformation treated only the symptoms.</w:t>
      </w:r>
    </w:p>
    <w:p>
      <w:pPr>
        <w:pStyle w:val="ListBullet"/>
        <w:spacing w:after="60"/>
        <w:ind w:left="432" w:hanging="317"/>
      </w:pPr>
      <w:r>
        <w:rPr>
          <w:b/>
          <w:sz w:val="22"/>
        </w:rPr>
        <w:t>An average effect can be true of nobody.</w:t>
      </w:r>
      <w:r>
        <w:rPr>
          <w:b w:val="0"/>
          <w:sz w:val="22"/>
        </w:rPr>
        <w:t xml:space="preserve"> The single endcap coefficient of about 305 units averaged a very large effect with almost none.</w:t>
      </w:r>
    </w:p>
    <w:p>
      <w:pPr>
        <w:pStyle w:val="ListBullet"/>
        <w:spacing w:after="60"/>
        <w:ind w:left="432" w:hanging="317"/>
      </w:pPr>
      <w:r>
        <w:rPr>
          <w:b/>
          <w:sz w:val="22"/>
        </w:rPr>
        <w:t>Automatic selection needs the right candidates.</w:t>
      </w:r>
      <w:r>
        <w:rPr>
          <w:b w:val="0"/>
          <w:sz w:val="22"/>
        </w:rPr>
        <w:t xml:space="preserve"> Stepwise regression only chooses from the variables it is offered. It found Endcap × Sales Rep because we put it on the list, so judgement still has to come from the analyst.</w:t>
      </w:r>
    </w:p>
    <w:p>
      <w:pPr>
        <w:pStyle w:val="ListBullet"/>
        <w:spacing w:after="60"/>
        <w:ind w:left="432" w:hanging="317"/>
      </w:pPr>
      <w:r>
        <w:rPr>
          <w:b/>
          <w:sz w:val="22"/>
        </w:rPr>
        <w:t>Statistical significance is not the business answer.</w:t>
      </w:r>
      <w:r>
        <w:rPr>
          <w:b w:val="0"/>
          <w:sz w:val="22"/>
        </w:rPr>
        <w:t xml:space="preserve"> The model says how many units each programme adds. The budget decision also needs costs and margins, and a controlled test before the associations can be called cause and effect.</w:t>
      </w:r>
    </w:p>
    <w:p>
      <w:pPr>
        <w:pStyle w:val="Heading1"/>
        <w:pBdr>
          <w:bottom w:val="single" w:sz="6" w:space="2" w:color="7A1E2E"/>
        </w:pBdr>
      </w:pPr>
      <w:r>
        <w:t>Appendix A: JASP Settings Used at Each Step</w:t>
      </w:r>
    </w:p>
    <w:p>
      <w:pPr>
        <w:keepNext/>
        <w:spacing w:before="120" w:after="60"/>
        <w:jc w:val="left"/>
      </w:pPr>
      <w:r>
        <w:rPr>
          <w:b/>
          <w:color w:val="333333"/>
          <w:sz w:val="20"/>
        </w:rPr>
        <w:t>Table A.1: JASP settings</w:t>
      </w:r>
    </w:p>
    <w:tbl>
      <w:tblPr>
        <w:tblW w:type="auto" w:w="0"/>
        <w:jc w:val="center"/>
        <w:tblBorders>
          <w:top w:val="single" w:sz="10" w:space="0" w:color="6B1B28"/>
          <w:bottom w:val="single" w:sz="10" w:space="0" w:color="6B1B28"/>
          <w:insideH w:val="single" w:sz="4" w:space="0" w:color="C8C2BC"/>
          <w:left w:val="nil" w:sz="0" w:space="0" w:color="auto"/>
          <w:right w:val="nil" w:sz="0" w:space="0" w:color="auto"/>
          <w:insideV w:val="nil" w:sz="0" w:space="0" w:color="auto"/>
        </w:tblBorders>
        <w:tblLayout w:type="fixed"/>
        <w:tblCellMar>
          <w:top w:w="35" w:type="dxa"/>
          <w:left w:w="80" w:type="dxa"/>
          <w:bottom w:w="35" w:type="dxa"/>
          <w:right w:w="80" w:type="dxa"/>
        </w:tblCellMar>
        <w:tblLook w:firstColumn="1" w:firstRow="1" w:lastColumn="0" w:lastRow="0" w:noHBand="0" w:noVBand="1" w:val="04A0"/>
      </w:tblPr>
      <w:tblGrid>
        <w:gridCol w:w="1728"/>
        <w:gridCol w:w="6048"/>
        <w:gridCol w:w="1440"/>
      </w:tblGrid>
      <w:tr>
        <w:trPr>
          <w:tblHeader w:val="true"/>
          <w:cantSplit w:val="true"/>
        </w:trPr>
        <w:tc>
          <w:tcPr>
            <w:tcW w:type="dxa" w:w="1728"/>
            <w:shd w:val="clear" w:color="auto" w:fill="6B1B28"/>
          </w:tcPr>
          <w:p>
            <w:pPr>
              <w:keepNext/>
              <w:spacing w:after="0" w:line="240" w:lineRule="auto"/>
              <w:jc w:val="left"/>
            </w:pPr>
            <w:r>
              <w:rPr>
                <w:b/>
                <w:color w:val="FFFFFF"/>
                <w:sz w:val="18"/>
              </w:rPr>
              <w:t>Step</w:t>
            </w:r>
          </w:p>
        </w:tc>
        <w:tc>
          <w:tcPr>
            <w:tcW w:type="dxa" w:w="6048"/>
            <w:shd w:val="clear" w:color="auto" w:fill="6B1B28"/>
          </w:tcPr>
          <w:p>
            <w:pPr>
              <w:keepNext/>
              <w:spacing w:after="0" w:line="240" w:lineRule="auto"/>
              <w:jc w:val="left"/>
            </w:pPr>
            <w:r>
              <w:rPr>
                <w:b/>
                <w:color w:val="FFFFFF"/>
                <w:sz w:val="18"/>
              </w:rPr>
              <w:t>JASP analysis and settings</w:t>
            </w:r>
          </w:p>
        </w:tc>
        <w:tc>
          <w:tcPr>
            <w:tcW w:type="dxa" w:w="1440"/>
            <w:shd w:val="clear" w:color="auto" w:fill="6B1B28"/>
          </w:tcPr>
          <w:p>
            <w:pPr>
              <w:keepNext/>
              <w:spacing w:after="0" w:line="240" w:lineRule="auto"/>
              <w:jc w:val="left"/>
            </w:pPr>
            <w:r>
              <w:rPr>
                <w:b/>
                <w:color w:val="FFFFFF"/>
                <w:sz w:val="18"/>
              </w:rPr>
              <w:t>Used in</w:t>
            </w:r>
          </w:p>
        </w:tc>
      </w:tr>
      <w:tr>
        <w:trPr>
          <w:cantSplit w:val="true"/>
        </w:trPr>
        <w:tc>
          <w:tcPr>
            <w:tcW w:type="dxa" w:w="1728"/>
          </w:tcPr>
          <w:p>
            <w:pPr>
              <w:keepNext/>
              <w:spacing w:after="0" w:line="240" w:lineRule="auto"/>
              <w:jc w:val="left"/>
            </w:pPr>
            <w:r>
              <w:rPr>
                <w:b w:val="0"/>
                <w:sz w:val="18"/>
              </w:rPr>
              <w:t>Model 1</w:t>
            </w:r>
          </w:p>
        </w:tc>
        <w:tc>
          <w:tcPr>
            <w:tcW w:type="dxa" w:w="6048"/>
          </w:tcPr>
          <w:p>
            <w:pPr>
              <w:keepNext/>
              <w:spacing w:after="0" w:line="240" w:lineRule="auto"/>
              <w:jc w:val="left"/>
            </w:pPr>
            <w:r>
              <w:rPr>
                <w:b w:val="0"/>
                <w:sz w:val="18"/>
              </w:rPr>
              <w:t>Regression → Classical → Linear Regression. Dependent variable: Units. Covariates: Price, Rep, Endcap, Demo, D13, D45, Natural, Fitness. Method: Enter. Statistics: estimates, confidence intervals, model fit, R-squared change, collinearity (VIF), Durbin-Watson.</w:t>
            </w:r>
          </w:p>
        </w:tc>
        <w:tc>
          <w:tcPr>
            <w:tcW w:type="dxa" w:w="1440"/>
          </w:tcPr>
          <w:p>
            <w:pPr>
              <w:keepNext/>
              <w:spacing w:after="0" w:line="240" w:lineRule="auto"/>
              <w:jc w:val="left"/>
            </w:pPr>
            <w:r>
              <w:rPr>
                <w:b w:val="0"/>
                <w:sz w:val="18"/>
              </w:rPr>
              <w:t>Tables 2.1, 2.2</w:t>
            </w:r>
          </w:p>
        </w:tc>
      </w:tr>
      <w:tr>
        <w:trPr>
          <w:cantSplit w:val="true"/>
        </w:trPr>
        <w:tc>
          <w:tcPr>
            <w:tcW w:type="dxa" w:w="1728"/>
            <w:shd w:val="clear" w:color="auto" w:fill="F5F2EF"/>
          </w:tcPr>
          <w:p>
            <w:pPr>
              <w:keepNext/>
              <w:spacing w:after="0" w:line="240" w:lineRule="auto"/>
              <w:jc w:val="left"/>
            </w:pPr>
            <w:r>
              <w:rPr>
                <w:b w:val="0"/>
                <w:sz w:val="18"/>
              </w:rPr>
              <w:t>Assumptions</w:t>
            </w:r>
          </w:p>
        </w:tc>
        <w:tc>
          <w:tcPr>
            <w:tcW w:type="dxa" w:w="6048"/>
            <w:shd w:val="clear" w:color="auto" w:fill="F5F2EF"/>
          </w:tcPr>
          <w:p>
            <w:pPr>
              <w:keepNext/>
              <w:spacing w:after="0" w:line="240" w:lineRule="auto"/>
              <w:jc w:val="left"/>
            </w:pPr>
            <w:r>
              <w:rPr>
                <w:b w:val="0"/>
                <w:sz w:val="18"/>
              </w:rPr>
              <w:t>Same analysis. Residuals: statistics and casewise diagnostics (standardised residual &gt; 3, Cook’s distance). Plots: residuals vs. predicted, residuals histogram, Q-Q plot of standardised residuals.</w:t>
            </w:r>
          </w:p>
        </w:tc>
        <w:tc>
          <w:tcPr>
            <w:tcW w:type="dxa" w:w="1440"/>
            <w:shd w:val="clear" w:color="auto" w:fill="F5F2EF"/>
          </w:tcPr>
          <w:p>
            <w:pPr>
              <w:keepNext/>
              <w:spacing w:after="0" w:line="240" w:lineRule="auto"/>
              <w:jc w:val="left"/>
            </w:pPr>
            <w:r>
              <w:rPr>
                <w:b w:val="0"/>
                <w:sz w:val="18"/>
              </w:rPr>
              <w:t>Figure 3.1, Table 3.1</w:t>
            </w:r>
          </w:p>
        </w:tc>
      </w:tr>
      <w:tr>
        <w:trPr>
          <w:cantSplit w:val="true"/>
        </w:trPr>
        <w:tc>
          <w:tcPr>
            <w:tcW w:type="dxa" w:w="1728"/>
          </w:tcPr>
          <w:p>
            <w:pPr>
              <w:keepNext/>
              <w:spacing w:after="0" w:line="240" w:lineRule="auto"/>
              <w:jc w:val="left"/>
            </w:pPr>
            <w:r>
              <w:rPr>
                <w:b w:val="0"/>
                <w:sz w:val="18"/>
              </w:rPr>
              <w:t>Model 2</w:t>
            </w:r>
          </w:p>
        </w:tc>
        <w:tc>
          <w:tcPr>
            <w:tcW w:type="dxa" w:w="6048"/>
          </w:tcPr>
          <w:p>
            <w:pPr>
              <w:keepNext/>
              <w:spacing w:after="0" w:line="240" w:lineRule="auto"/>
              <w:jc w:val="left"/>
            </w:pPr>
            <w:r>
              <w:rPr>
                <w:b w:val="0"/>
                <w:sz w:val="18"/>
              </w:rPr>
              <w:t>New linear regression with lnUnits as the dependent variable (column in the data file) and the same eight covariates and options.</w:t>
            </w:r>
          </w:p>
        </w:tc>
        <w:tc>
          <w:tcPr>
            <w:tcW w:type="dxa" w:w="1440"/>
          </w:tcPr>
          <w:p>
            <w:pPr>
              <w:keepNext/>
              <w:spacing w:after="0" w:line="240" w:lineRule="auto"/>
              <w:jc w:val="left"/>
            </w:pPr>
            <w:r>
              <w:rPr>
                <w:b w:val="0"/>
                <w:sz w:val="18"/>
              </w:rPr>
              <w:t>Table 4.1, Figure 5.1</w:t>
            </w:r>
          </w:p>
        </w:tc>
      </w:tr>
      <w:tr>
        <w:trPr>
          <w:cantSplit w:val="true"/>
        </w:trPr>
        <w:tc>
          <w:tcPr>
            <w:tcW w:type="dxa" w:w="1728"/>
            <w:shd w:val="clear" w:color="auto" w:fill="F5F2EF"/>
          </w:tcPr>
          <w:p>
            <w:pPr>
              <w:keepNext/>
              <w:spacing w:after="0" w:line="240" w:lineRule="auto"/>
              <w:jc w:val="left"/>
            </w:pPr>
            <w:r>
              <w:rPr>
                <w:b w:val="0"/>
                <w:sz w:val="18"/>
              </w:rPr>
              <w:t>Interaction screen</w:t>
            </w:r>
          </w:p>
        </w:tc>
        <w:tc>
          <w:tcPr>
            <w:tcW w:type="dxa" w:w="6048"/>
            <w:shd w:val="clear" w:color="auto" w:fill="F5F2EF"/>
          </w:tcPr>
          <w:p>
            <w:pPr>
              <w:keepNext/>
              <w:spacing w:after="0" w:line="240" w:lineRule="auto"/>
              <w:jc w:val="left"/>
            </w:pPr>
            <w:r>
              <w:rPr>
                <w:b w:val="0"/>
                <w:sz w:val="18"/>
              </w:rPr>
              <w:t>Model 1 covariates plus one product column at a time (e.g. Rep_x_Endcap, the Endcap × Sales Rep term); read the R-squared change and the t-test of the added term.</w:t>
            </w:r>
          </w:p>
        </w:tc>
        <w:tc>
          <w:tcPr>
            <w:tcW w:type="dxa" w:w="1440"/>
            <w:shd w:val="clear" w:color="auto" w:fill="F5F2EF"/>
          </w:tcPr>
          <w:p>
            <w:pPr>
              <w:keepNext/>
              <w:spacing w:after="0" w:line="240" w:lineRule="auto"/>
              <w:jc w:val="left"/>
            </w:pPr>
            <w:r>
              <w:rPr>
                <w:b w:val="0"/>
                <w:sz w:val="18"/>
              </w:rPr>
              <w:t>Table 6.2</w:t>
            </w:r>
          </w:p>
        </w:tc>
      </w:tr>
      <w:tr>
        <w:trPr>
          <w:cantSplit w:val="true"/>
        </w:trPr>
        <w:tc>
          <w:tcPr>
            <w:tcW w:type="dxa" w:w="1728"/>
          </w:tcPr>
          <w:p>
            <w:pPr>
              <w:keepNext/>
              <w:spacing w:after="0" w:line="240" w:lineRule="auto"/>
              <w:jc w:val="left"/>
            </w:pPr>
            <w:r>
              <w:rPr>
                <w:b w:val="0"/>
                <w:sz w:val="18"/>
              </w:rPr>
              <w:t>Model 3</w:t>
            </w:r>
          </w:p>
        </w:tc>
        <w:tc>
          <w:tcPr>
            <w:tcW w:type="dxa" w:w="6048"/>
          </w:tcPr>
          <w:p>
            <w:pPr>
              <w:keepNext/>
              <w:spacing w:after="0" w:line="240" w:lineRule="auto"/>
              <w:jc w:val="left"/>
            </w:pPr>
            <w:r>
              <w:rPr>
                <w:b w:val="0"/>
                <w:sz w:val="18"/>
              </w:rPr>
              <w:t>New linear regression, dependent variable Units, covariates: the eight variables and the 16 interaction columns. Method: Stepwise, with p-value criteria: entry 0.05, removal 0.10. Same statistics and plots.</w:t>
            </w:r>
          </w:p>
        </w:tc>
        <w:tc>
          <w:tcPr>
            <w:tcW w:type="dxa" w:w="1440"/>
          </w:tcPr>
          <w:p>
            <w:pPr>
              <w:keepNext/>
              <w:spacing w:after="0" w:line="240" w:lineRule="auto"/>
              <w:jc w:val="left"/>
            </w:pPr>
            <w:r>
              <w:rPr>
                <w:b w:val="0"/>
                <w:sz w:val="18"/>
              </w:rPr>
              <w:t>Tables 7.1, 7.2, Figure 7.1</w:t>
            </w:r>
          </w:p>
        </w:tc>
      </w:tr>
      <w:tr>
        <w:trPr>
          <w:cantSplit w:val="true"/>
        </w:trPr>
        <w:tc>
          <w:tcPr>
            <w:tcW w:type="dxa" w:w="1728"/>
            <w:shd w:val="clear" w:color="auto" w:fill="F5F2EF"/>
          </w:tcPr>
          <w:p>
            <w:pPr>
              <w:spacing w:after="0" w:line="240" w:lineRule="auto"/>
              <w:jc w:val="left"/>
            </w:pPr>
            <w:r>
              <w:rPr>
                <w:b w:val="0"/>
                <w:sz w:val="18"/>
              </w:rPr>
              <w:t>Demo duration test</w:t>
            </w:r>
          </w:p>
        </w:tc>
        <w:tc>
          <w:tcPr>
            <w:tcW w:type="dxa" w:w="6048"/>
            <w:shd w:val="clear" w:color="auto" w:fill="F5F2EF"/>
          </w:tcPr>
          <w:p>
            <w:pPr>
              <w:spacing w:after="0" w:line="240" w:lineRule="auto"/>
              <w:jc w:val="left"/>
            </w:pPr>
            <w:r>
              <w:rPr>
                <w:b w:val="0"/>
                <w:sz w:val="18"/>
              </w:rPr>
              <w:t>Dependent: Units; covariates Rep_x_Endcap, Rep, Demo, D13_plus_D45, Price (Demo1-3 and Demo4-5 forced equal). F = (SSE reduced − SSE full) / (SSE full / 1,379).</w:t>
            </w:r>
          </w:p>
        </w:tc>
        <w:tc>
          <w:tcPr>
            <w:tcW w:type="dxa" w:w="1440"/>
            <w:shd w:val="clear" w:color="auto" w:fill="F5F2EF"/>
          </w:tcPr>
          <w:p>
            <w:pPr>
              <w:spacing w:after="0" w:line="240" w:lineRule="auto"/>
              <w:jc w:val="left"/>
            </w:pPr>
            <w:r>
              <w:rPr>
                <w:b w:val="0"/>
                <w:sz w:val="18"/>
              </w:rPr>
              <w:t>Section 8.3</w:t>
            </w:r>
          </w:p>
        </w:tc>
      </w:tr>
    </w:tbl>
    <w:p>
      <w:pPr>
        <w:spacing w:after="40" w:line="120" w:lineRule="auto"/>
      </w:pPr>
    </w:p>
    <w:p>
      <w:r>
        <w:rPr>
          <w:b w:val="0"/>
          <w:sz w:val="20"/>
        </w:rPr>
        <w:t>The residual figures were redrawn from the same residuals for a uniform layout, with a P-P plot added as the brief asks; JASP’s own Q-Q plot shows the same information. The clustered standard errors, cross-validation, Breusch-Pagan test (p = 0.056 for Model 3) and the search over 154 higher-order terms were run outside JASP. Scripts and a workbook of all tables are in the submission folder.</w:t>
      </w:r>
    </w:p>
    <w:sectPr w:rsidR="00FC693F" w:rsidRPr="0006063C" w:rsidSect="00034616">
      <w:footerReference w:type="default" r:id="rId9"/>
      <w:pgSz w:w="11909" w:h="16834"/>
      <w:pgMar w:top="1368"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GoodBelly Case Report  |  Section E, Group 15  |  </w:t>
    </w:r>
    <w:r>
      <w:rPr>
        <w:color w:val="555555"/>
        <w:sz w:val="18"/>
      </w:rPr>
      <w:fldChar w:fldCharType="begin"/>
    </w:r>
    <w:r>
      <w:rPr>
        <w:color w:val="555555"/>
        <w:sz w:val="18"/>
      </w:rPr>
      <w:instrText xml:space="preserve">PAGE</w:instrText>
    </w:r>
    <w:r>
      <w:rPr>
        <w:color w:val="555555"/>
        <w:sz w:val="18"/>
      </w:rPr>
      <w:fldChar w:fldCharType="separate"/>
      <w:t>1</w:t>
    </w:r>
    <w:r>
      <w:rPr>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s="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Times New Roman" w:hAnsi="Times New Roman" w:eastAsia="Times New Roman" w:cs="Times New Roman"/>
      <w:b/>
      <w:bCs/>
      <w:i w:val="0"/>
      <w:color w:val="7A1E2E"/>
      <w:sz w:val="30"/>
      <w:szCs w:val="28"/>
    </w:rPr>
  </w:style>
  <w:style w:type="paragraph" w:styleId="Heading2">
    <w:name w:val="heading 2"/>
    <w:basedOn w:val="Normal"/>
    <w:next w:val="Normal"/>
    <w:link w:val="Heading2Char"/>
    <w:uiPriority w:val="9"/>
    <w:unhideWhenUsed/>
    <w:qFormat/>
    <w:rsid w:val="00FC693F"/>
    <w:pPr>
      <w:keepNext/>
      <w:keepLines/>
      <w:spacing w:before="220" w:after="60"/>
      <w:jc w:val="left"/>
      <w:outlineLvl w:val="1"/>
    </w:pPr>
    <w:rPr>
      <w:rFonts w:ascii="Times New Roman" w:hAnsi="Times New Roman" w:eastAsia="Times New Roman" w:cs="Times New Roman"/>
      <w:b/>
      <w:bCs/>
      <w:i w:val="0"/>
      <w:color w:val="333333"/>
      <w:sz w:val="24"/>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imes New Roman" w:hAnsi="Times New Roman" w:eastAsia="Times New Roman" w:cs="Times New Roman"/>
      <w:b/>
      <w:bCs/>
      <w:i/>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