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r>
        <w:rPr>
          <w:b w:val="0"/>
          <w:i w:val="0"/>
        </w:rPr>
      </w:r>
    </w:p>
    <w:p>
      <w:r>
        <w:rPr>
          <w:b w:val="0"/>
          <w:i w:val="0"/>
        </w:rPr>
      </w:r>
    </w:p>
    <w:p>
      <w:pPr>
        <w:jc w:val="center"/>
      </w:pPr>
      <w:r>
        <w:rPr>
          <w:b/>
          <w:i w:val="0"/>
          <w:sz w:val="28"/>
        </w:rPr>
        <w:t>Indian Institute of Management Bangalore</w:t>
      </w:r>
    </w:p>
    <w:p>
      <w:pPr>
        <w:jc w:val="center"/>
      </w:pPr>
      <w:r>
        <w:rPr>
          <w:b w:val="0"/>
          <w:i w:val="0"/>
          <w:sz w:val="24"/>
        </w:rPr>
        <w:t>PGP 2026-28 | Decision Sciences II</w:t>
      </w:r>
    </w:p>
    <w:p>
      <w:r>
        <w:rPr>
          <w:b w:val="0"/>
          <w:i w:val="0"/>
        </w:rPr>
      </w:r>
    </w:p>
    <w:p>
      <w:r>
        <w:rPr>
          <w:b w:val="0"/>
          <w:i w:val="0"/>
        </w:rPr>
      </w:r>
    </w:p>
    <w:p>
      <w:pPr>
        <w:jc w:val="center"/>
      </w:pPr>
      <w:r>
        <w:rPr>
          <w:b/>
          <w:i w:val="0"/>
          <w:sz w:val="44"/>
        </w:rPr>
        <w:t>GoodBelly: Do In-Store Promotions Drive Sales?</w:t>
      </w:r>
    </w:p>
    <w:p>
      <w:pPr>
        <w:jc w:val="center"/>
      </w:pPr>
      <w:r>
        <w:rPr>
          <w:b w:val="0"/>
          <w:i/>
          <w:sz w:val="24"/>
        </w:rPr>
        <w:t>A regression analysis of in-store demos, endcap placement and sales-rep coverage across 126 Whole Foods stores</w:t>
      </w:r>
    </w:p>
    <w:p>
      <w:r>
        <w:rPr>
          <w:b w:val="0"/>
          <w:i w:val="0"/>
        </w:rPr>
      </w:r>
    </w:p>
    <w:p>
      <w:r>
        <w:rPr>
          <w:b w:val="0"/>
          <w:i w:val="0"/>
        </w:rPr>
      </w:r>
    </w:p>
    <w:p>
      <w:pPr>
        <w:jc w:val="center"/>
      </w:pPr>
      <w:r>
        <w:rPr>
          <w:b/>
          <w:i w:val="0"/>
          <w:sz w:val="28"/>
        </w:rPr>
        <w:t>Case Study Report</w:t>
      </w:r>
    </w:p>
    <w:p>
      <w:pPr>
        <w:jc w:val="center"/>
      </w:pPr>
      <w:r>
        <w:rPr>
          <w:b/>
          <w:i w:val="0"/>
          <w:sz w:val="26"/>
        </w:rPr>
        <w:t>Group # [____]</w:t>
      </w:r>
    </w:p>
    <w:p>
      <w:r>
        <w:rPr>
          <w:b w:val="0"/>
          <w:i w:val="0"/>
        </w:rPr>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1F4E79"/>
          </w:tcPr>
          <w:p>
            <w:pPr>
              <w:spacing w:after="0"/>
            </w:pPr>
            <w:r/>
            <w:r>
              <w:rPr>
                <w:b/>
                <w:color w:val="FFFFFF"/>
                <w:sz w:val="19"/>
              </w:rPr>
              <w:t>Team member</w:t>
            </w:r>
          </w:p>
        </w:tc>
        <w:tc>
          <w:tcPr>
            <w:tcW w:type="dxa" w:w="2880"/>
            <w:shd w:val="clear" w:color="auto" w:fill="1F4E79"/>
          </w:tcPr>
          <w:p>
            <w:pPr>
              <w:spacing w:after="0"/>
              <w:jc w:val="center"/>
            </w:pPr>
            <w:r/>
            <w:r>
              <w:rPr>
                <w:b/>
                <w:color w:val="FFFFFF"/>
                <w:sz w:val="19"/>
              </w:rPr>
              <w:t>Roll number</w:t>
            </w:r>
          </w:p>
        </w:tc>
      </w:tr>
      <w:tr>
        <w:tc>
          <w:tcPr>
            <w:tcW w:type="dxa" w:w="4320"/>
          </w:tcPr>
          <w:p>
            <w:pPr>
              <w:spacing w:after="0"/>
            </w:pPr>
            <w:r/>
            <w:r>
              <w:rPr>
                <w:sz w:val="19"/>
              </w:rPr>
              <w:t>[Name 1]</w:t>
            </w:r>
          </w:p>
        </w:tc>
        <w:tc>
          <w:tcPr>
            <w:tcW w:type="dxa" w:w="2880"/>
          </w:tcPr>
          <w:p>
            <w:pPr>
              <w:spacing w:after="0"/>
              <w:jc w:val="center"/>
            </w:pPr>
            <w:r/>
            <w:r>
              <w:rPr>
                <w:sz w:val="19"/>
              </w:rPr>
              <w:t>[Roll no.]</w:t>
            </w:r>
          </w:p>
        </w:tc>
      </w:tr>
      <w:tr>
        <w:tc>
          <w:tcPr>
            <w:tcW w:type="dxa" w:w="4320"/>
            <w:shd w:val="clear" w:color="auto" w:fill="EAF0F7"/>
          </w:tcPr>
          <w:p>
            <w:pPr>
              <w:spacing w:after="0"/>
            </w:pPr>
            <w:r/>
            <w:r>
              <w:rPr>
                <w:sz w:val="19"/>
              </w:rPr>
              <w:t>[Name 2]</w:t>
            </w:r>
          </w:p>
        </w:tc>
        <w:tc>
          <w:tcPr>
            <w:tcW w:type="dxa" w:w="2880"/>
            <w:shd w:val="clear" w:color="auto" w:fill="EAF0F7"/>
          </w:tcPr>
          <w:p>
            <w:pPr>
              <w:spacing w:after="0"/>
              <w:jc w:val="center"/>
            </w:pPr>
            <w:r/>
            <w:r>
              <w:rPr>
                <w:sz w:val="19"/>
              </w:rPr>
              <w:t>[Roll no.]</w:t>
            </w:r>
          </w:p>
        </w:tc>
      </w:tr>
      <w:tr>
        <w:tc>
          <w:tcPr>
            <w:tcW w:type="dxa" w:w="4320"/>
          </w:tcPr>
          <w:p>
            <w:pPr>
              <w:spacing w:after="0"/>
            </w:pPr>
            <w:r/>
            <w:r>
              <w:rPr>
                <w:sz w:val="19"/>
              </w:rPr>
              <w:t>[Name 3]</w:t>
            </w:r>
          </w:p>
        </w:tc>
        <w:tc>
          <w:tcPr>
            <w:tcW w:type="dxa" w:w="2880"/>
          </w:tcPr>
          <w:p>
            <w:pPr>
              <w:spacing w:after="0"/>
              <w:jc w:val="center"/>
            </w:pPr>
            <w:r/>
            <w:r>
              <w:rPr>
                <w:sz w:val="19"/>
              </w:rPr>
              <w:t>[Roll no.]</w:t>
            </w:r>
          </w:p>
        </w:tc>
      </w:tr>
      <w:tr>
        <w:tc>
          <w:tcPr>
            <w:tcW w:type="dxa" w:w="4320"/>
            <w:shd w:val="clear" w:color="auto" w:fill="EAF0F7"/>
          </w:tcPr>
          <w:p>
            <w:pPr>
              <w:spacing w:after="0"/>
            </w:pPr>
            <w:r/>
            <w:r>
              <w:rPr>
                <w:sz w:val="19"/>
              </w:rPr>
              <w:t>[Name 4]</w:t>
            </w:r>
          </w:p>
        </w:tc>
        <w:tc>
          <w:tcPr>
            <w:tcW w:type="dxa" w:w="2880"/>
            <w:shd w:val="clear" w:color="auto" w:fill="EAF0F7"/>
          </w:tcPr>
          <w:p>
            <w:pPr>
              <w:spacing w:after="0"/>
              <w:jc w:val="center"/>
            </w:pPr>
            <w:r/>
            <w:r>
              <w:rPr>
                <w:sz w:val="19"/>
              </w:rPr>
              <w:t>[Roll no.]</w:t>
            </w:r>
          </w:p>
        </w:tc>
      </w:tr>
      <w:tr>
        <w:tc>
          <w:tcPr>
            <w:tcW w:type="dxa" w:w="4320"/>
          </w:tcPr>
          <w:p>
            <w:pPr>
              <w:spacing w:after="0"/>
            </w:pPr>
            <w:r/>
            <w:r>
              <w:rPr>
                <w:sz w:val="19"/>
              </w:rPr>
              <w:t>[Name 5]</w:t>
            </w:r>
          </w:p>
        </w:tc>
        <w:tc>
          <w:tcPr>
            <w:tcW w:type="dxa" w:w="2880"/>
          </w:tcPr>
          <w:p>
            <w:pPr>
              <w:spacing w:after="0"/>
              <w:jc w:val="center"/>
            </w:pPr>
            <w:r/>
            <w:r>
              <w:rPr>
                <w:sz w:val="19"/>
              </w:rPr>
              <w:t>[Roll no.]</w:t>
            </w:r>
          </w:p>
        </w:tc>
      </w:tr>
    </w:tbl>
    <w:p>
      <w:pPr>
        <w:spacing w:after="40"/>
      </w:pPr>
    </w:p>
    <w:p>
      <w:pPr>
        <w:jc w:val="center"/>
      </w:pPr>
      <w:r>
        <w:rPr>
          <w:b w:val="0"/>
          <w:i w:val="0"/>
          <w:sz w:val="20"/>
        </w:rPr>
        <w:t>Submitted: October 6, 2026 | Course: Decision Sciences II</w:t>
      </w:r>
    </w:p>
    <w:p>
      <w:r>
        <w:br w:type="page"/>
      </w:r>
    </w:p>
    <w:p>
      <w:pPr>
        <w:pStyle w:val="Heading1"/>
      </w:pPr>
      <w:r>
        <w:t>Executive Summary</w:t>
      </w:r>
    </w:p>
    <w:p>
      <w:r>
        <w:rPr>
          <w:b w:val="0"/>
          <w:i w:val="0"/>
        </w:rPr>
      </w:r>
      <w:r>
        <w:rPr>
          <w:b/>
          <w:i w:val="0"/>
        </w:rPr>
        <w:t>Problem.</w:t>
      </w:r>
      <w:r>
        <w:rPr>
          <w:b w:val="0"/>
          <w:i w:val="0"/>
        </w:rPr>
        <w:t xml:space="preserve"> GoodBelly (a probiotic juice) must justify its in-store marketing spend. We use multiple regression on 1,386 store-week observations (126 Whole Foods stores, May 4 to July 13, 2010) to test whether regional sales reps, endcap displays and in-store demos raise weekly unit sales, and for how long.</w:t>
      </w:r>
    </w:p>
    <w:p>
      <w:r>
        <w:rPr>
          <w:b w:val="0"/>
          <w:i w:val="0"/>
        </w:rPr>
      </w:r>
      <w:r>
        <w:rPr>
          <w:b/>
          <w:i w:val="0"/>
        </w:rPr>
        <w:t>Modelling.</w:t>
      </w:r>
      <w:r>
        <w:rPr>
          <w:b w:val="0"/>
          <w:i w:val="0"/>
        </w:rPr>
        <w:t xml:space="preserve"> We first fitted a linear model with all eight variables (Model 1: R² = 0.67). Its residuals were skewed with heavy tails and showed autocorrelation (Durbin-Watson = 1.39), so it fails the regression assumptions. We then used </w:t>
      </w:r>
      <w:r>
        <w:rPr>
          <w:b/>
          <w:i w:val="0"/>
        </w:rPr>
        <w:t>stepwise regression</w:t>
      </w:r>
      <w:r>
        <w:rPr>
          <w:b w:val="0"/>
          <w:i w:val="0"/>
        </w:rPr>
        <w:t xml:space="preserve"> on a pool of the eight variables plus 16 hand-picked interaction terms, and repeated the search on all 154 two-, three- and four-way products, which selected the identical model. Stepwise selected an </w:t>
      </w:r>
      <w:r>
        <w:rPr>
          <w:b/>
          <w:i w:val="0"/>
        </w:rPr>
        <w:t>Endcap × Rep interaction</w:t>
      </w:r>
      <w:r>
        <w:rPr>
          <w:b w:val="0"/>
          <w:i w:val="0"/>
        </w:rPr>
        <w:t xml:space="preserve"> first, followed by Rep, the three demo dummies and Price, and rejected the neighbourhood variables. The resulting Model 2 has R² = 0.81 (adjusted 0.81), and its residuals are near-normal (skew -0.01, kurtosis 3.0) with Durbin-Watson = 2.11. The assumption problems of Model 1 came from the missing interaction, not from the scale of sales, so no log transformation is needed.</w:t>
      </w:r>
    </w:p>
    <w:p>
      <w:r>
        <w:rPr>
          <w:b w:val="0"/>
          <w:i w:val="0"/>
        </w:rPr>
      </w:r>
      <w:r>
        <w:rPr>
          <w:b/>
          <w:i w:val="0"/>
        </w:rPr>
        <w:t>Key findings.</w:t>
      </w:r>
      <w:r>
        <w:rPr>
          <w:b w:val="0"/>
          <w:i w:val="0"/>
        </w:rPr>
      </w:r>
    </w:p>
    <w:p>
      <w:pPr>
        <w:pStyle w:val="ListBullet"/>
        <w:spacing w:after="40"/>
      </w:pPr>
      <w:r>
        <w:rPr>
          <w:b w:val="0"/>
        </w:rPr>
      </w:r>
      <w:r>
        <w:rPr>
          <w:b/>
        </w:rPr>
        <w:t>Endcaps work only together with a regional rep.</w:t>
      </w:r>
      <w:r>
        <w:rPr>
          <w:b w:val="0"/>
        </w:rPr>
        <w:t xml:space="preserve"> In stores with a regional rep an endcap adds about </w:t>
      </w:r>
      <w:r>
        <w:rPr>
          <w:b/>
        </w:rPr>
        <w:t>454 units a week</w:t>
      </w:r>
      <w:r>
        <w:rPr>
          <w:b w:val="0"/>
        </w:rPr>
        <w:t xml:space="preserve"> (95% CI 438 to 471). In stores without a rep the endcap effect is zero (p = 0.96). Average weekly units are 757 for endcap-with-rep versus 218 for endcap-without-rep.</w:t>
      </w:r>
    </w:p>
    <w:p>
      <w:pPr>
        <w:pStyle w:val="ListBullet"/>
        <w:spacing w:after="40"/>
      </w:pPr>
      <w:r>
        <w:rPr>
          <w:b w:val="0"/>
        </w:rPr>
      </w:r>
      <w:r>
        <w:rPr>
          <w:b/>
        </w:rPr>
        <w:t>Demos work, and the lift persists.</w:t>
      </w:r>
      <w:r>
        <w:rPr>
          <w:b w:val="0"/>
        </w:rPr>
        <w:t xml:space="preserve"> A demo adds 107 units in the demo week and about 73 per week in weeks 1-3 and 75 in weeks 4-5+ (all p&lt;0.001). Weeks 1-3 and 4-5+ are not different (partial F p = 0.85), so there is no decay within five weeks. One demo yields about </w:t>
      </w:r>
      <w:r>
        <w:rPr>
          <w:b/>
        </w:rPr>
        <w:t>476 extra units</w:t>
      </w:r>
      <w:r>
        <w:rPr>
          <w:b w:val="0"/>
        </w:rPr>
        <w:t xml:space="preserve"> over six weeks.</w:t>
      </w:r>
    </w:p>
    <w:p>
      <w:pPr>
        <w:pStyle w:val="ListBullet"/>
        <w:spacing w:after="40"/>
      </w:pPr>
      <w:r>
        <w:rPr>
          <w:b w:val="0"/>
        </w:rPr>
      </w:r>
      <w:r>
        <w:rPr>
          <w:b/>
        </w:rPr>
        <w:t>Regional sales reps help on their own:</w:t>
      </w:r>
      <w:r>
        <w:rPr>
          <w:b w:val="0"/>
        </w:rPr>
        <w:t xml:space="preserve"> about +59 units a week, even without an endcap.</w:t>
      </w:r>
    </w:p>
    <w:p>
      <w:pPr>
        <w:pStyle w:val="ListBullet"/>
        <w:spacing w:after="40"/>
      </w:pPr>
      <w:r>
        <w:rPr>
          <w:b w:val="0"/>
        </w:rPr>
      </w:r>
      <w:r>
        <w:rPr>
          <w:b/>
        </w:rPr>
        <w:t>Price matters, but demand is inelastic:</w:t>
      </w:r>
      <w:r>
        <w:rPr>
          <w:b w:val="0"/>
        </w:rPr>
        <w:t xml:space="preserve"> each extra $1 lowers units by about 22 a week (elasticity at the mean about -0.36).</w:t>
      </w:r>
    </w:p>
    <w:p>
      <w:pPr>
        <w:pStyle w:val="ListBullet"/>
        <w:spacing w:after="40"/>
      </w:pPr>
      <w:r>
        <w:rPr>
          <w:b w:val="0"/>
        </w:rPr>
      </w:r>
      <w:r>
        <w:rPr>
          <w:b/>
        </w:rPr>
        <w:t>Neighbourhood context and region do not matter</w:t>
      </w:r>
      <w:r>
        <w:rPr>
          <w:b w:val="0"/>
        </w:rPr>
        <w:t xml:space="preserve"> once the promotion variables are in the model.</w:t>
      </w:r>
    </w:p>
    <w:p>
      <w:r>
        <w:rPr>
          <w:b w:val="0"/>
          <w:i w:val="0"/>
        </w:rPr>
      </w:r>
      <w:r>
        <w:rPr>
          <w:b/>
          <w:i w:val="0"/>
        </w:rPr>
        <w:t>Recommendations.</w:t>
      </w:r>
      <w:r>
        <w:rPr>
          <w:b w:val="0"/>
          <w:i w:val="0"/>
        </w:rPr>
        <w:t xml:space="preserve"> (1) Pay for endcaps only in stores with a regional rep, and extend rep coverage first; (2) keep funding demos and judge them over a six-week window, not demo-day sales; (3) do not rely on price cuts to drive volume; (4) test endcaps in a few more non-rep stores, because the no-rep result rests on only three stores; (5) collect store traffic and longer data to learn when the demo lift fades.</w:t>
      </w:r>
    </w:p>
    <w:p>
      <w:r>
        <w:br w:type="page"/>
      </w:r>
    </w:p>
    <w:p>
      <w:pPr>
        <w:pStyle w:val="Heading1"/>
      </w:pPr>
      <w:r>
        <w:t>1. Understanding the Problem and the Data</w:t>
      </w:r>
    </w:p>
    <w:p>
      <w:r>
        <w:rPr>
          <w:b w:val="0"/>
          <w:i w:val="0"/>
        </w:rPr>
        <w:t xml:space="preserve">GoodBelly is a start-up with no budget for national advertising, so it relies on in-store marketing at Whole Foods (about 75% of 2009 sales). By July 2010, management questioned whether demos boost sales at all, whether any boost is only temporary, and whether endcap promotions are worth it. We study three controllable levers: </w:t>
      </w:r>
      <w:r>
        <w:rPr>
          <w:b/>
          <w:i w:val="0"/>
        </w:rPr>
        <w:t>(a)</w:t>
      </w:r>
      <w:r>
        <w:rPr>
          <w:b w:val="0"/>
          <w:i w:val="0"/>
        </w:rPr>
        <w:t xml:space="preserve"> a regional sales rep (face-to-face contact) versus the national rep only, </w:t>
      </w:r>
      <w:r>
        <w:rPr>
          <w:b/>
          <w:i w:val="0"/>
        </w:rPr>
        <w:t>(b)</w:t>
      </w:r>
      <w:r>
        <w:rPr>
          <w:b w:val="0"/>
          <w:i w:val="0"/>
        </w:rPr>
        <w:t xml:space="preserve"> an </w:t>
      </w:r>
      <w:r>
        <w:rPr>
          <w:b/>
          <w:i w:val="0"/>
        </w:rPr>
        <w:t>endcap</w:t>
      </w:r>
      <w:r>
        <w:rPr>
          <w:b w:val="0"/>
          <w:i w:val="0"/>
        </w:rPr>
        <w:t xml:space="preserve"> (end-of-aisle display), and </w:t>
      </w:r>
      <w:r>
        <w:rPr>
          <w:b/>
          <w:i w:val="0"/>
        </w:rPr>
        <w:t>(c)</w:t>
      </w:r>
      <w:r>
        <w:rPr>
          <w:b w:val="0"/>
          <w:i w:val="0"/>
        </w:rPr>
        <w:t xml:space="preserve"> in-store </w:t>
      </w:r>
      <w:r>
        <w:rPr>
          <w:b/>
          <w:i w:val="0"/>
        </w:rPr>
        <w:t>demos</w:t>
      </w:r>
      <w:r>
        <w:rPr>
          <w:b w:val="0"/>
          <w:i w:val="0"/>
        </w:rPr>
        <w:t>. The data have 126 stores × 11 weekly observations (the case note says 10 weeks; the file has 11 distinct dates).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F4E79"/>
          </w:tcPr>
          <w:p>
            <w:pPr>
              <w:spacing w:after="0"/>
            </w:pPr>
            <w:r/>
            <w:r>
              <w:rPr>
                <w:b/>
                <w:color w:val="FFFFFF"/>
                <w:sz w:val="19"/>
              </w:rPr>
              <w:t>Variable</w:t>
            </w:r>
          </w:p>
        </w:tc>
        <w:tc>
          <w:tcPr>
            <w:tcW w:type="dxa" w:w="4464"/>
            <w:shd w:val="clear" w:color="auto" w:fill="1F4E79"/>
          </w:tcPr>
          <w:p>
            <w:pPr>
              <w:spacing w:after="0"/>
              <w:jc w:val="center"/>
            </w:pPr>
            <w:r/>
            <w:r>
              <w:rPr>
                <w:b/>
                <w:color w:val="FFFFFF"/>
                <w:sz w:val="19"/>
              </w:rPr>
              <w:t>Description</w:t>
            </w:r>
          </w:p>
        </w:tc>
        <w:tc>
          <w:tcPr>
            <w:tcW w:type="dxa" w:w="2592"/>
            <w:shd w:val="clear" w:color="auto" w:fill="1F4E79"/>
          </w:tcPr>
          <w:p>
            <w:pPr>
              <w:spacing w:after="0"/>
              <w:jc w:val="center"/>
            </w:pPr>
            <w:r/>
            <w:r>
              <w:rPr>
                <w:b/>
                <w:color w:val="FFFFFF"/>
                <w:sz w:val="19"/>
              </w:rPr>
              <w:t>Mean / share</w:t>
            </w:r>
          </w:p>
        </w:tc>
      </w:tr>
      <w:tr>
        <w:tc>
          <w:tcPr>
            <w:tcW w:type="dxa" w:w="2304"/>
          </w:tcPr>
          <w:p>
            <w:pPr>
              <w:spacing w:after="0"/>
            </w:pPr>
            <w:r/>
            <w:r>
              <w:rPr>
                <w:sz w:val="19"/>
              </w:rPr>
              <w:t>Units (Y)</w:t>
            </w:r>
          </w:p>
        </w:tc>
        <w:tc>
          <w:tcPr>
            <w:tcW w:type="dxa" w:w="4464"/>
          </w:tcPr>
          <w:p>
            <w:pPr>
              <w:spacing w:after="0"/>
              <w:jc w:val="center"/>
            </w:pPr>
            <w:r/>
            <w:r>
              <w:rPr>
                <w:sz w:val="19"/>
              </w:rPr>
              <w:t>Units sold per store per week</w:t>
            </w:r>
          </w:p>
        </w:tc>
        <w:tc>
          <w:tcPr>
            <w:tcW w:type="dxa" w:w="2592"/>
          </w:tcPr>
          <w:p>
            <w:pPr>
              <w:spacing w:after="0"/>
              <w:jc w:val="center"/>
            </w:pPr>
            <w:r/>
            <w:r>
              <w:rPr>
                <w:sz w:val="19"/>
              </w:rPr>
              <w:t>253.8 (SD 111; range 48-1,041)</w:t>
            </w:r>
          </w:p>
        </w:tc>
      </w:tr>
      <w:tr>
        <w:tc>
          <w:tcPr>
            <w:tcW w:type="dxa" w:w="2304"/>
            <w:shd w:val="clear" w:color="auto" w:fill="EAF0F7"/>
          </w:tcPr>
          <w:p>
            <w:pPr>
              <w:spacing w:after="0"/>
            </w:pPr>
            <w:r/>
            <w:r>
              <w:rPr>
                <w:sz w:val="19"/>
              </w:rPr>
              <w:t>Price</w:t>
            </w:r>
          </w:p>
        </w:tc>
        <w:tc>
          <w:tcPr>
            <w:tcW w:type="dxa" w:w="4464"/>
            <w:shd w:val="clear" w:color="auto" w:fill="EAF0F7"/>
          </w:tcPr>
          <w:p>
            <w:pPr>
              <w:spacing w:after="0"/>
              <w:jc w:val="center"/>
            </w:pPr>
            <w:r/>
            <w:r>
              <w:rPr>
                <w:sz w:val="19"/>
              </w:rPr>
              <w:t>Average retail price ($)</w:t>
            </w:r>
          </w:p>
        </w:tc>
        <w:tc>
          <w:tcPr>
            <w:tcW w:type="dxa" w:w="2592"/>
            <w:shd w:val="clear" w:color="auto" w:fill="EAF0F7"/>
          </w:tcPr>
          <w:p>
            <w:pPr>
              <w:spacing w:after="0"/>
              <w:jc w:val="center"/>
            </w:pPr>
            <w:r/>
            <w:r>
              <w:rPr>
                <w:sz w:val="19"/>
              </w:rPr>
              <w:t>4.11 (SD 0.46)</w:t>
            </w:r>
          </w:p>
        </w:tc>
      </w:tr>
      <w:tr>
        <w:tc>
          <w:tcPr>
            <w:tcW w:type="dxa" w:w="2304"/>
          </w:tcPr>
          <w:p>
            <w:pPr>
              <w:spacing w:after="0"/>
            </w:pPr>
            <w:r/>
            <w:r>
              <w:rPr>
                <w:sz w:val="19"/>
              </w:rPr>
              <w:t>Rep</w:t>
            </w:r>
          </w:p>
        </w:tc>
        <w:tc>
          <w:tcPr>
            <w:tcW w:type="dxa" w:w="4464"/>
          </w:tcPr>
          <w:p>
            <w:pPr>
              <w:spacing w:after="0"/>
              <w:jc w:val="center"/>
            </w:pPr>
            <w:r/>
            <w:r>
              <w:rPr>
                <w:sz w:val="19"/>
              </w:rPr>
              <w:t>1 if regional sales rep</w:t>
            </w:r>
          </w:p>
        </w:tc>
        <w:tc>
          <w:tcPr>
            <w:tcW w:type="dxa" w:w="2592"/>
          </w:tcPr>
          <w:p>
            <w:pPr>
              <w:spacing w:after="0"/>
              <w:jc w:val="center"/>
            </w:pPr>
            <w:r/>
            <w:r>
              <w:rPr>
                <w:sz w:val="19"/>
              </w:rPr>
              <w:t>55% of store-weeks</w:t>
            </w:r>
          </w:p>
        </w:tc>
      </w:tr>
      <w:tr>
        <w:tc>
          <w:tcPr>
            <w:tcW w:type="dxa" w:w="2304"/>
            <w:shd w:val="clear" w:color="auto" w:fill="EAF0F7"/>
          </w:tcPr>
          <w:p>
            <w:pPr>
              <w:spacing w:after="0"/>
            </w:pPr>
            <w:r/>
            <w:r>
              <w:rPr>
                <w:sz w:val="19"/>
              </w:rPr>
              <w:t>Endcap</w:t>
            </w:r>
          </w:p>
        </w:tc>
        <w:tc>
          <w:tcPr>
            <w:tcW w:type="dxa" w:w="4464"/>
            <w:shd w:val="clear" w:color="auto" w:fill="EAF0F7"/>
          </w:tcPr>
          <w:p>
            <w:pPr>
              <w:spacing w:after="0"/>
              <w:jc w:val="center"/>
            </w:pPr>
            <w:r/>
            <w:r>
              <w:rPr>
                <w:sz w:val="19"/>
              </w:rPr>
              <w:t>1 if endcap promotion</w:t>
            </w:r>
          </w:p>
        </w:tc>
        <w:tc>
          <w:tcPr>
            <w:tcW w:type="dxa" w:w="2592"/>
            <w:shd w:val="clear" w:color="auto" w:fill="EAF0F7"/>
          </w:tcPr>
          <w:p>
            <w:pPr>
              <w:spacing w:after="0"/>
              <w:jc w:val="center"/>
            </w:pPr>
            <w:r/>
            <w:r>
              <w:rPr>
                <w:sz w:val="19"/>
              </w:rPr>
              <w:t>3.8% (53 store-weeks, 12 stores)</w:t>
            </w:r>
          </w:p>
        </w:tc>
      </w:tr>
      <w:tr>
        <w:tc>
          <w:tcPr>
            <w:tcW w:type="dxa" w:w="2304"/>
          </w:tcPr>
          <w:p>
            <w:pPr>
              <w:spacing w:after="0"/>
            </w:pPr>
            <w:r/>
            <w:r>
              <w:rPr>
                <w:sz w:val="19"/>
              </w:rPr>
              <w:t>Demo / Demo1-3 / Demo4-5</w:t>
            </w:r>
          </w:p>
        </w:tc>
        <w:tc>
          <w:tcPr>
            <w:tcW w:type="dxa" w:w="4464"/>
          </w:tcPr>
          <w:p>
            <w:pPr>
              <w:spacing w:after="0"/>
              <w:jc w:val="center"/>
            </w:pPr>
            <w:r/>
            <w:r>
              <w:rPr>
                <w:sz w:val="19"/>
              </w:rPr>
              <w:t>Demo this week / 1-3 weeks ago / 4-5+ weeks ago</w:t>
            </w:r>
          </w:p>
        </w:tc>
        <w:tc>
          <w:tcPr>
            <w:tcW w:type="dxa" w:w="2592"/>
          </w:tcPr>
          <w:p>
            <w:pPr>
              <w:spacing w:after="0"/>
              <w:jc w:val="center"/>
            </w:pPr>
            <w:r/>
            <w:r>
              <w:rPr>
                <w:sz w:val="19"/>
              </w:rPr>
              <w:t>5.8% / 15.7% / 7.6%</w:t>
            </w:r>
          </w:p>
        </w:tc>
      </w:tr>
      <w:tr>
        <w:tc>
          <w:tcPr>
            <w:tcW w:type="dxa" w:w="2304"/>
            <w:shd w:val="clear" w:color="auto" w:fill="EAF0F7"/>
          </w:tcPr>
          <w:p>
            <w:pPr>
              <w:spacing w:after="0"/>
            </w:pPr>
            <w:r/>
            <w:r>
              <w:rPr>
                <w:sz w:val="19"/>
              </w:rPr>
              <w:t>Natural, Fitness</w:t>
            </w:r>
          </w:p>
        </w:tc>
        <w:tc>
          <w:tcPr>
            <w:tcW w:type="dxa" w:w="4464"/>
            <w:shd w:val="clear" w:color="auto" w:fill="EAF0F7"/>
          </w:tcPr>
          <w:p>
            <w:pPr>
              <w:spacing w:after="0"/>
              <w:jc w:val="center"/>
            </w:pPr>
            <w:r/>
            <w:r>
              <w:rPr>
                <w:sz w:val="19"/>
              </w:rPr>
              <w:t>Natural retailers / fitness centres within 5 miles</w:t>
            </w:r>
          </w:p>
        </w:tc>
        <w:tc>
          <w:tcPr>
            <w:tcW w:type="dxa" w:w="2592"/>
            <w:shd w:val="clear" w:color="auto" w:fill="EAF0F7"/>
          </w:tcPr>
          <w:p>
            <w:pPr>
              <w:spacing w:after="0"/>
              <w:jc w:val="center"/>
            </w:pPr>
            <w:r/>
            <w:r>
              <w:rPr>
                <w:sz w:val="19"/>
              </w:rPr>
              <w:t>1.45 / 2.48</w:t>
            </w:r>
          </w:p>
        </w:tc>
      </w:tr>
    </w:tbl>
    <w:p>
      <w:pPr>
        <w:spacing w:after="40"/>
      </w:pPr>
    </w:p>
    <w:p>
      <w:r>
        <w:rPr>
          <w:b w:val="0"/>
          <w:i w:val="0"/>
        </w:rPr>
      </w:r>
      <w:r>
        <w:rPr>
          <w:b/>
          <w:i w:val="0"/>
        </w:rPr>
        <w:t>Data checks.</w:t>
      </w:r>
      <w:r>
        <w:rPr>
          <w:b w:val="0"/>
          <w:i w:val="0"/>
        </w:rPr>
        <w:t xml:space="preserve"> No missing values except Region (13 stores, unused in the main model). The three demo dummies mark how recently a store ran a demo (this week, 1-3 weeks ago, 4-5+ weeks ago); "no recent demo" is the base, and 34 store-weeks have more than one flag set because the store held repeat demos. Raw means hint at the story: store-weeks with a demo average 401 units against 245 without, and stores with a regional rep average 299 against 199 without. Regression is needed because these levers overlap.</w:t>
      </w:r>
    </w:p>
    <w:p>
      <w:pPr>
        <w:keepNext/>
        <w:jc w:val="center"/>
      </w:pPr>
      <w:r>
        <w:drawing>
          <wp:inline xmlns:a="http://schemas.openxmlformats.org/drawingml/2006/main" xmlns:pic="http://schemas.openxmlformats.org/drawingml/2006/picture">
            <wp:extent cx="4023360" cy="2011680"/>
            <wp:docPr id="1" name="Picture 1"/>
            <wp:cNvGraphicFramePr>
              <a:graphicFrameLocks noChangeAspect="1"/>
            </wp:cNvGraphicFramePr>
            <a:graphic>
              <a:graphicData uri="http://schemas.openxmlformats.org/drawingml/2006/picture">
                <pic:pic>
                  <pic:nvPicPr>
                    <pic:cNvPr id="0" name="dist.png"/>
                    <pic:cNvPicPr/>
                  </pic:nvPicPr>
                  <pic:blipFill>
                    <a:blip r:embed="rId9"/>
                    <a:stretch>
                      <a:fillRect/>
                    </a:stretch>
                  </pic:blipFill>
                  <pic:spPr>
                    <a:xfrm>
                      <a:off x="0" y="0"/>
                      <a:ext cx="4023360" cy="2011680"/>
                    </a:xfrm>
                    <a:prstGeom prst="rect"/>
                  </pic:spPr>
                </pic:pic>
              </a:graphicData>
            </a:graphic>
          </wp:inline>
        </w:drawing>
      </w:r>
    </w:p>
    <w:p>
      <w:pPr>
        <w:jc w:val="center"/>
      </w:pPr>
      <w:r>
        <w:rPr>
          <w:b w:val="0"/>
          <w:i/>
          <w:sz w:val="19"/>
        </w:rPr>
        <w:t>Figure 1. Distribution of weekly units per store-week (right-skewed).</w:t>
      </w:r>
    </w:p>
    <w:p>
      <w:pPr>
        <w:pStyle w:val="Heading1"/>
      </w:pPr>
      <w:r>
        <w:t>2. Question 1: Model of Sales vs. Promotional Effort</w:t>
      </w:r>
    </w:p>
    <w:p>
      <w:pPr>
        <w:pStyle w:val="Heading2"/>
      </w:pPr>
      <w:r>
        <w:t>2.1 Baseline model with all variables (Model 1)</w:t>
      </w:r>
    </w:p>
    <w:p>
      <w:r>
        <w:rPr>
          <w:b w:val="0"/>
          <w:i w:val="0"/>
        </w:rPr>
        <w:t>Model 1: Units = β0 + β1·Price + β2·Rep + β3·Endcap + β4·Demo + β5·Demo1-3 + β6·Demo4-5 + β7·Natural + β8·Fitness + ε, estimated by OLS on all 1,386 observations.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456"/>
            <w:shd w:val="clear" w:color="auto" w:fill="1F4E79"/>
          </w:tcPr>
          <w:p>
            <w:pPr>
              <w:spacing w:after="0"/>
            </w:pPr>
            <w:r/>
            <w:r>
              <w:rPr>
                <w:b/>
                <w:color w:val="FFFFFF"/>
                <w:sz w:val="19"/>
              </w:rPr>
              <w:t>Variable</w:t>
            </w:r>
          </w:p>
        </w:tc>
        <w:tc>
          <w:tcPr>
            <w:tcW w:type="dxa" w:w="2160"/>
            <w:shd w:val="clear" w:color="auto" w:fill="1F4E79"/>
          </w:tcPr>
          <w:p>
            <w:pPr>
              <w:spacing w:after="0"/>
              <w:jc w:val="center"/>
            </w:pPr>
            <w:r/>
            <w:r>
              <w:rPr>
                <w:b/>
                <w:color w:val="FFFFFF"/>
                <w:sz w:val="19"/>
              </w:rPr>
              <w:t>Coef.</w:t>
            </w:r>
          </w:p>
        </w:tc>
        <w:tc>
          <w:tcPr>
            <w:tcW w:type="dxa" w:w="1152"/>
            <w:shd w:val="clear" w:color="auto" w:fill="1F4E79"/>
          </w:tcPr>
          <w:p>
            <w:pPr>
              <w:spacing w:after="0"/>
              <w:jc w:val="center"/>
            </w:pPr>
            <w:r/>
            <w:r>
              <w:rPr>
                <w:b/>
                <w:color w:val="FFFFFF"/>
                <w:sz w:val="19"/>
              </w:rPr>
              <w:t>Std. err.</w:t>
            </w:r>
          </w:p>
        </w:tc>
        <w:tc>
          <w:tcPr>
            <w:tcW w:type="dxa" w:w="1008"/>
            <w:shd w:val="clear" w:color="auto" w:fill="1F4E79"/>
          </w:tcPr>
          <w:p>
            <w:pPr>
              <w:spacing w:after="0"/>
              <w:jc w:val="center"/>
            </w:pPr>
            <w:r/>
            <w:r>
              <w:rPr>
                <w:b/>
                <w:color w:val="FFFFFF"/>
                <w:sz w:val="19"/>
              </w:rPr>
              <w:t>t-stat</w:t>
            </w:r>
          </w:p>
        </w:tc>
        <w:tc>
          <w:tcPr>
            <w:tcW w:type="dxa" w:w="1152"/>
            <w:shd w:val="clear" w:color="auto" w:fill="1F4E79"/>
          </w:tcPr>
          <w:p>
            <w:pPr>
              <w:spacing w:after="0"/>
              <w:jc w:val="center"/>
            </w:pPr>
            <w:r/>
            <w:r>
              <w:rPr>
                <w:b/>
                <w:color w:val="FFFFFF"/>
                <w:sz w:val="19"/>
              </w:rPr>
              <w:t>p-value</w:t>
            </w:r>
          </w:p>
        </w:tc>
        <w:tc>
          <w:tcPr>
            <w:tcW w:type="dxa" w:w="1152"/>
            <w:shd w:val="clear" w:color="auto" w:fill="1F4E79"/>
          </w:tcPr>
          <w:p>
            <w:pPr>
              <w:spacing w:after="0"/>
              <w:jc w:val="center"/>
            </w:pPr>
            <w:r/>
            <w:r>
              <w:rPr>
                <w:b/>
                <w:color w:val="FFFFFF"/>
                <w:sz w:val="19"/>
              </w:rPr>
              <w:t>Std. beta</w:t>
            </w:r>
          </w:p>
        </w:tc>
      </w:tr>
      <w:tr>
        <w:tc>
          <w:tcPr>
            <w:tcW w:type="dxa" w:w="3456"/>
          </w:tcPr>
          <w:p>
            <w:pPr>
              <w:spacing w:after="0"/>
            </w:pPr>
            <w:r/>
            <w:r>
              <w:rPr>
                <w:sz w:val="19"/>
              </w:rPr>
              <w:t>Intercept</w:t>
            </w:r>
          </w:p>
        </w:tc>
        <w:tc>
          <w:tcPr>
            <w:tcW w:type="dxa" w:w="2160"/>
          </w:tcPr>
          <w:p>
            <w:pPr>
              <w:spacing w:after="0"/>
              <w:jc w:val="center"/>
            </w:pPr>
            <w:r/>
            <w:r>
              <w:rPr>
                <w:sz w:val="19"/>
              </w:rPr>
              <w:t>298.49***</w:t>
            </w:r>
          </w:p>
        </w:tc>
        <w:tc>
          <w:tcPr>
            <w:tcW w:type="dxa" w:w="1152"/>
          </w:tcPr>
          <w:p>
            <w:pPr>
              <w:spacing w:after="0"/>
              <w:jc w:val="center"/>
            </w:pPr>
            <w:r/>
            <w:r>
              <w:rPr>
                <w:sz w:val="19"/>
              </w:rPr>
              <w:t>16.18</w:t>
            </w:r>
          </w:p>
        </w:tc>
        <w:tc>
          <w:tcPr>
            <w:tcW w:type="dxa" w:w="1008"/>
          </w:tcPr>
          <w:p>
            <w:pPr>
              <w:spacing w:after="0"/>
              <w:jc w:val="center"/>
            </w:pPr>
            <w:r/>
            <w:r>
              <w:rPr>
                <w:sz w:val="19"/>
              </w:rPr>
              <w:t>18.44</w:t>
            </w:r>
          </w:p>
        </w:tc>
        <w:tc>
          <w:tcPr>
            <w:tcW w:type="dxa" w:w="1152"/>
          </w:tcPr>
          <w:p>
            <w:pPr>
              <w:spacing w:after="0"/>
              <w:jc w:val="center"/>
            </w:pPr>
            <w:r/>
            <w:r>
              <w:rPr>
                <w:sz w:val="19"/>
              </w:rPr>
              <w:t>&lt;0.001</w:t>
            </w:r>
          </w:p>
        </w:tc>
        <w:tc>
          <w:tcPr>
            <w:tcW w:type="dxa" w:w="1152"/>
          </w:tcPr>
          <w:p>
            <w:pPr>
              <w:spacing w:after="0"/>
              <w:jc w:val="center"/>
            </w:pPr>
            <w:r/>
            <w:r>
              <w:rPr>
                <w:sz w:val="19"/>
              </w:rPr>
              <w:t>-</w:t>
            </w:r>
          </w:p>
        </w:tc>
      </w:tr>
      <w:tr>
        <w:tc>
          <w:tcPr>
            <w:tcW w:type="dxa" w:w="3456"/>
            <w:shd w:val="clear" w:color="auto" w:fill="EAF0F7"/>
          </w:tcPr>
          <w:p>
            <w:pPr>
              <w:spacing w:after="0"/>
            </w:pPr>
            <w:r/>
            <w:r>
              <w:rPr>
                <w:sz w:val="19"/>
              </w:rPr>
              <w:t>Average retail price ($)</w:t>
            </w:r>
          </w:p>
        </w:tc>
        <w:tc>
          <w:tcPr>
            <w:tcW w:type="dxa" w:w="2160"/>
            <w:shd w:val="clear" w:color="auto" w:fill="EAF0F7"/>
          </w:tcPr>
          <w:p>
            <w:pPr>
              <w:spacing w:after="0"/>
              <w:jc w:val="center"/>
            </w:pPr>
            <w:r/>
            <w:r>
              <w:rPr>
                <w:sz w:val="19"/>
              </w:rPr>
              <w:t>-28.54***</w:t>
            </w:r>
          </w:p>
        </w:tc>
        <w:tc>
          <w:tcPr>
            <w:tcW w:type="dxa" w:w="1152"/>
            <w:shd w:val="clear" w:color="auto" w:fill="EAF0F7"/>
          </w:tcPr>
          <w:p>
            <w:pPr>
              <w:spacing w:after="0"/>
              <w:jc w:val="center"/>
            </w:pPr>
            <w:r/>
            <w:r>
              <w:rPr>
                <w:sz w:val="19"/>
              </w:rPr>
              <w:t>3.95</w:t>
            </w:r>
          </w:p>
        </w:tc>
        <w:tc>
          <w:tcPr>
            <w:tcW w:type="dxa" w:w="1008"/>
            <w:shd w:val="clear" w:color="auto" w:fill="EAF0F7"/>
          </w:tcPr>
          <w:p>
            <w:pPr>
              <w:spacing w:after="0"/>
              <w:jc w:val="center"/>
            </w:pPr>
            <w:r/>
            <w:r>
              <w:rPr>
                <w:sz w:val="19"/>
              </w:rPr>
              <w:t>-7.22</w:t>
            </w:r>
          </w:p>
        </w:tc>
        <w:tc>
          <w:tcPr>
            <w:tcW w:type="dxa" w:w="1152"/>
            <w:shd w:val="clear" w:color="auto" w:fill="EAF0F7"/>
          </w:tcPr>
          <w:p>
            <w:pPr>
              <w:spacing w:after="0"/>
              <w:jc w:val="center"/>
            </w:pPr>
            <w:r/>
            <w:r>
              <w:rPr>
                <w:sz w:val="19"/>
              </w:rPr>
              <w:t>&lt;0.001</w:t>
            </w:r>
          </w:p>
        </w:tc>
        <w:tc>
          <w:tcPr>
            <w:tcW w:type="dxa" w:w="1152"/>
            <w:shd w:val="clear" w:color="auto" w:fill="EAF0F7"/>
          </w:tcPr>
          <w:p>
            <w:pPr>
              <w:spacing w:after="0"/>
              <w:jc w:val="center"/>
            </w:pPr>
            <w:r/>
            <w:r>
              <w:rPr>
                <w:sz w:val="19"/>
              </w:rPr>
              <w:t>-0.12</w:t>
            </w:r>
          </w:p>
        </w:tc>
      </w:tr>
      <w:tr>
        <w:tc>
          <w:tcPr>
            <w:tcW w:type="dxa" w:w="3456"/>
          </w:tcPr>
          <w:p>
            <w:pPr>
              <w:spacing w:after="0"/>
            </w:pPr>
            <w:r/>
            <w:r>
              <w:rPr>
                <w:sz w:val="19"/>
              </w:rPr>
              <w:t>Regional sales rep (1/0)</w:t>
            </w:r>
          </w:p>
        </w:tc>
        <w:tc>
          <w:tcPr>
            <w:tcW w:type="dxa" w:w="2160"/>
          </w:tcPr>
          <w:p>
            <w:pPr>
              <w:spacing w:after="0"/>
              <w:jc w:val="center"/>
            </w:pPr>
            <w:r/>
            <w:r>
              <w:rPr>
                <w:sz w:val="19"/>
              </w:rPr>
              <w:t>77.44***</w:t>
            </w:r>
          </w:p>
        </w:tc>
        <w:tc>
          <w:tcPr>
            <w:tcW w:type="dxa" w:w="1152"/>
          </w:tcPr>
          <w:p>
            <w:pPr>
              <w:spacing w:after="0"/>
              <w:jc w:val="center"/>
            </w:pPr>
            <w:r/>
            <w:r>
              <w:rPr>
                <w:sz w:val="19"/>
              </w:rPr>
              <w:t>3.86</w:t>
            </w:r>
          </w:p>
        </w:tc>
        <w:tc>
          <w:tcPr>
            <w:tcW w:type="dxa" w:w="1008"/>
          </w:tcPr>
          <w:p>
            <w:pPr>
              <w:spacing w:after="0"/>
              <w:jc w:val="center"/>
            </w:pPr>
            <w:r/>
            <w:r>
              <w:rPr>
                <w:sz w:val="19"/>
              </w:rPr>
              <w:t>20.04</w:t>
            </w:r>
          </w:p>
        </w:tc>
        <w:tc>
          <w:tcPr>
            <w:tcW w:type="dxa" w:w="1152"/>
          </w:tcPr>
          <w:p>
            <w:pPr>
              <w:spacing w:after="0"/>
              <w:jc w:val="center"/>
            </w:pPr>
            <w:r/>
            <w:r>
              <w:rPr>
                <w:sz w:val="19"/>
              </w:rPr>
              <w:t>&lt;0.001</w:t>
            </w:r>
          </w:p>
        </w:tc>
        <w:tc>
          <w:tcPr>
            <w:tcW w:type="dxa" w:w="1152"/>
          </w:tcPr>
          <w:p>
            <w:pPr>
              <w:spacing w:after="0"/>
              <w:jc w:val="center"/>
            </w:pPr>
            <w:r/>
            <w:r>
              <w:rPr>
                <w:sz w:val="19"/>
              </w:rPr>
              <w:t>0.35</w:t>
            </w:r>
          </w:p>
        </w:tc>
      </w:tr>
      <w:tr>
        <w:tc>
          <w:tcPr>
            <w:tcW w:type="dxa" w:w="3456"/>
            <w:shd w:val="clear" w:color="auto" w:fill="EAF0F7"/>
          </w:tcPr>
          <w:p>
            <w:pPr>
              <w:spacing w:after="0"/>
            </w:pPr>
            <w:r/>
            <w:r>
              <w:rPr>
                <w:sz w:val="19"/>
              </w:rPr>
              <w:t>Endcap promotion (1/0)</w:t>
            </w:r>
          </w:p>
        </w:tc>
        <w:tc>
          <w:tcPr>
            <w:tcW w:type="dxa" w:w="2160"/>
            <w:shd w:val="clear" w:color="auto" w:fill="EAF0F7"/>
          </w:tcPr>
          <w:p>
            <w:pPr>
              <w:spacing w:after="0"/>
              <w:jc w:val="center"/>
            </w:pPr>
            <w:r/>
            <w:r>
              <w:rPr>
                <w:sz w:val="19"/>
              </w:rPr>
              <w:t>305.10***</w:t>
            </w:r>
          </w:p>
        </w:tc>
        <w:tc>
          <w:tcPr>
            <w:tcW w:type="dxa" w:w="1152"/>
            <w:shd w:val="clear" w:color="auto" w:fill="EAF0F7"/>
          </w:tcPr>
          <w:p>
            <w:pPr>
              <w:spacing w:after="0"/>
              <w:jc w:val="center"/>
            </w:pPr>
            <w:r/>
            <w:r>
              <w:rPr>
                <w:sz w:val="19"/>
              </w:rPr>
              <w:t>9.06</w:t>
            </w:r>
          </w:p>
        </w:tc>
        <w:tc>
          <w:tcPr>
            <w:tcW w:type="dxa" w:w="1008"/>
            <w:shd w:val="clear" w:color="auto" w:fill="EAF0F7"/>
          </w:tcPr>
          <w:p>
            <w:pPr>
              <w:spacing w:after="0"/>
              <w:jc w:val="center"/>
            </w:pPr>
            <w:r/>
            <w:r>
              <w:rPr>
                <w:sz w:val="19"/>
              </w:rPr>
              <w:t>33.69</w:t>
            </w:r>
          </w:p>
        </w:tc>
        <w:tc>
          <w:tcPr>
            <w:tcW w:type="dxa" w:w="1152"/>
            <w:shd w:val="clear" w:color="auto" w:fill="EAF0F7"/>
          </w:tcPr>
          <w:p>
            <w:pPr>
              <w:spacing w:after="0"/>
              <w:jc w:val="center"/>
            </w:pPr>
            <w:r/>
            <w:r>
              <w:rPr>
                <w:sz w:val="19"/>
              </w:rPr>
              <w:t>&lt;0.001</w:t>
            </w:r>
          </w:p>
        </w:tc>
        <w:tc>
          <w:tcPr>
            <w:tcW w:type="dxa" w:w="1152"/>
            <w:shd w:val="clear" w:color="auto" w:fill="EAF0F7"/>
          </w:tcPr>
          <w:p>
            <w:pPr>
              <w:spacing w:after="0"/>
              <w:jc w:val="center"/>
            </w:pPr>
            <w:r/>
            <w:r>
              <w:rPr>
                <w:sz w:val="19"/>
              </w:rPr>
              <w:t>0.53</w:t>
            </w:r>
          </w:p>
        </w:tc>
      </w:tr>
      <w:tr>
        <w:tc>
          <w:tcPr>
            <w:tcW w:type="dxa" w:w="3456"/>
          </w:tcPr>
          <w:p>
            <w:pPr>
              <w:spacing w:after="0"/>
            </w:pPr>
            <w:r/>
            <w:r>
              <w:rPr>
                <w:sz w:val="19"/>
              </w:rPr>
              <w:t>Demo this week (1/0)</w:t>
            </w:r>
          </w:p>
        </w:tc>
        <w:tc>
          <w:tcPr>
            <w:tcW w:type="dxa" w:w="2160"/>
          </w:tcPr>
          <w:p>
            <w:pPr>
              <w:spacing w:after="0"/>
              <w:jc w:val="center"/>
            </w:pPr>
            <w:r/>
            <w:r>
              <w:rPr>
                <w:sz w:val="19"/>
              </w:rPr>
              <w:t>111.13***</w:t>
            </w:r>
          </w:p>
        </w:tc>
        <w:tc>
          <w:tcPr>
            <w:tcW w:type="dxa" w:w="1152"/>
          </w:tcPr>
          <w:p>
            <w:pPr>
              <w:spacing w:after="0"/>
              <w:jc w:val="center"/>
            </w:pPr>
            <w:r/>
            <w:r>
              <w:rPr>
                <w:sz w:val="19"/>
              </w:rPr>
              <w:t>7.40</w:t>
            </w:r>
          </w:p>
        </w:tc>
        <w:tc>
          <w:tcPr>
            <w:tcW w:type="dxa" w:w="1008"/>
          </w:tcPr>
          <w:p>
            <w:pPr>
              <w:spacing w:after="0"/>
              <w:jc w:val="center"/>
            </w:pPr>
            <w:r/>
            <w:r>
              <w:rPr>
                <w:sz w:val="19"/>
              </w:rPr>
              <w:t>15.01</w:t>
            </w:r>
          </w:p>
        </w:tc>
        <w:tc>
          <w:tcPr>
            <w:tcW w:type="dxa" w:w="1152"/>
          </w:tcPr>
          <w:p>
            <w:pPr>
              <w:spacing w:after="0"/>
              <w:jc w:val="center"/>
            </w:pPr>
            <w:r/>
            <w:r>
              <w:rPr>
                <w:sz w:val="19"/>
              </w:rPr>
              <w:t>&lt;0.001</w:t>
            </w:r>
          </w:p>
        </w:tc>
        <w:tc>
          <w:tcPr>
            <w:tcW w:type="dxa" w:w="1152"/>
          </w:tcPr>
          <w:p>
            <w:pPr>
              <w:spacing w:after="0"/>
              <w:jc w:val="center"/>
            </w:pPr>
            <w:r/>
            <w:r>
              <w:rPr>
                <w:sz w:val="19"/>
              </w:rPr>
              <w:t>0.23</w:t>
            </w:r>
          </w:p>
        </w:tc>
      </w:tr>
      <w:tr>
        <w:tc>
          <w:tcPr>
            <w:tcW w:type="dxa" w:w="3456"/>
            <w:shd w:val="clear" w:color="auto" w:fill="EAF0F7"/>
          </w:tcPr>
          <w:p>
            <w:pPr>
              <w:spacing w:after="0"/>
            </w:pPr>
            <w:r/>
            <w:r>
              <w:rPr>
                <w:sz w:val="19"/>
              </w:rPr>
              <w:t>Demo 1-3 weeks ago (1/0)</w:t>
            </w:r>
          </w:p>
        </w:tc>
        <w:tc>
          <w:tcPr>
            <w:tcW w:type="dxa" w:w="2160"/>
            <w:shd w:val="clear" w:color="auto" w:fill="EAF0F7"/>
          </w:tcPr>
          <w:p>
            <w:pPr>
              <w:spacing w:after="0"/>
              <w:jc w:val="center"/>
            </w:pPr>
            <w:r/>
            <w:r>
              <w:rPr>
                <w:sz w:val="19"/>
              </w:rPr>
              <w:t>73.52***</w:t>
            </w:r>
          </w:p>
        </w:tc>
        <w:tc>
          <w:tcPr>
            <w:tcW w:type="dxa" w:w="1152"/>
            <w:shd w:val="clear" w:color="auto" w:fill="EAF0F7"/>
          </w:tcPr>
          <w:p>
            <w:pPr>
              <w:spacing w:after="0"/>
              <w:jc w:val="center"/>
            </w:pPr>
            <w:r/>
            <w:r>
              <w:rPr>
                <w:sz w:val="19"/>
              </w:rPr>
              <w:t>4.90</w:t>
            </w:r>
          </w:p>
        </w:tc>
        <w:tc>
          <w:tcPr>
            <w:tcW w:type="dxa" w:w="1008"/>
            <w:shd w:val="clear" w:color="auto" w:fill="EAF0F7"/>
          </w:tcPr>
          <w:p>
            <w:pPr>
              <w:spacing w:after="0"/>
              <w:jc w:val="center"/>
            </w:pPr>
            <w:r/>
            <w:r>
              <w:rPr>
                <w:sz w:val="19"/>
              </w:rPr>
              <w:t>15.02</w:t>
            </w:r>
          </w:p>
        </w:tc>
        <w:tc>
          <w:tcPr>
            <w:tcW w:type="dxa" w:w="1152"/>
            <w:shd w:val="clear" w:color="auto" w:fill="EAF0F7"/>
          </w:tcPr>
          <w:p>
            <w:pPr>
              <w:spacing w:after="0"/>
              <w:jc w:val="center"/>
            </w:pPr>
            <w:r/>
            <w:r>
              <w:rPr>
                <w:sz w:val="19"/>
              </w:rPr>
              <w:t>&lt;0.001</w:t>
            </w:r>
          </w:p>
        </w:tc>
        <w:tc>
          <w:tcPr>
            <w:tcW w:type="dxa" w:w="1152"/>
            <w:shd w:val="clear" w:color="auto" w:fill="EAF0F7"/>
          </w:tcPr>
          <w:p>
            <w:pPr>
              <w:spacing w:after="0"/>
              <w:jc w:val="center"/>
            </w:pPr>
            <w:r/>
            <w:r>
              <w:rPr>
                <w:sz w:val="19"/>
              </w:rPr>
              <w:t>0.24</w:t>
            </w:r>
          </w:p>
        </w:tc>
      </w:tr>
      <w:tr>
        <w:tc>
          <w:tcPr>
            <w:tcW w:type="dxa" w:w="3456"/>
          </w:tcPr>
          <w:p>
            <w:pPr>
              <w:spacing w:after="0"/>
            </w:pPr>
            <w:r/>
            <w:r>
              <w:rPr>
                <w:sz w:val="19"/>
              </w:rPr>
              <w:t>Demo 4-5+ weeks ago (1/0)</w:t>
            </w:r>
          </w:p>
        </w:tc>
        <w:tc>
          <w:tcPr>
            <w:tcW w:type="dxa" w:w="2160"/>
          </w:tcPr>
          <w:p>
            <w:pPr>
              <w:spacing w:after="0"/>
              <w:jc w:val="center"/>
            </w:pPr>
            <w:r/>
            <w:r>
              <w:rPr>
                <w:sz w:val="19"/>
              </w:rPr>
              <w:t>67.57***</w:t>
            </w:r>
          </w:p>
        </w:tc>
        <w:tc>
          <w:tcPr>
            <w:tcW w:type="dxa" w:w="1152"/>
          </w:tcPr>
          <w:p>
            <w:pPr>
              <w:spacing w:after="0"/>
              <w:jc w:val="center"/>
            </w:pPr>
            <w:r/>
            <w:r>
              <w:rPr>
                <w:sz w:val="19"/>
              </w:rPr>
              <w:t>6.54</w:t>
            </w:r>
          </w:p>
        </w:tc>
        <w:tc>
          <w:tcPr>
            <w:tcW w:type="dxa" w:w="1008"/>
          </w:tcPr>
          <w:p>
            <w:pPr>
              <w:spacing w:after="0"/>
              <w:jc w:val="center"/>
            </w:pPr>
            <w:r/>
            <w:r>
              <w:rPr>
                <w:sz w:val="19"/>
              </w:rPr>
              <w:t>10.33</w:t>
            </w:r>
          </w:p>
        </w:tc>
        <w:tc>
          <w:tcPr>
            <w:tcW w:type="dxa" w:w="1152"/>
          </w:tcPr>
          <w:p>
            <w:pPr>
              <w:spacing w:after="0"/>
              <w:jc w:val="center"/>
            </w:pPr>
            <w:r/>
            <w:r>
              <w:rPr>
                <w:sz w:val="19"/>
              </w:rPr>
              <w:t>&lt;0.001</w:t>
            </w:r>
          </w:p>
        </w:tc>
        <w:tc>
          <w:tcPr>
            <w:tcW w:type="dxa" w:w="1152"/>
          </w:tcPr>
          <w:p>
            <w:pPr>
              <w:spacing w:after="0"/>
              <w:jc w:val="center"/>
            </w:pPr>
            <w:r/>
            <w:r>
              <w:rPr>
                <w:sz w:val="19"/>
              </w:rPr>
              <w:t>0.16</w:t>
            </w:r>
          </w:p>
        </w:tc>
      </w:tr>
      <w:tr>
        <w:tc>
          <w:tcPr>
            <w:tcW w:type="dxa" w:w="3456"/>
            <w:shd w:val="clear" w:color="auto" w:fill="EAF0F7"/>
          </w:tcPr>
          <w:p>
            <w:pPr>
              <w:spacing w:after="0"/>
            </w:pPr>
            <w:r/>
            <w:r>
              <w:rPr>
                <w:sz w:val="19"/>
              </w:rPr>
              <w:t>Natural retailers within 5 mi</w:t>
            </w:r>
          </w:p>
        </w:tc>
        <w:tc>
          <w:tcPr>
            <w:tcW w:type="dxa" w:w="2160"/>
            <w:shd w:val="clear" w:color="auto" w:fill="EAF0F7"/>
          </w:tcPr>
          <w:p>
            <w:pPr>
              <w:spacing w:after="0"/>
              <w:jc w:val="center"/>
            </w:pPr>
            <w:r/>
            <w:r>
              <w:rPr>
                <w:sz w:val="19"/>
              </w:rPr>
              <w:t>-1.59</w:t>
            </w:r>
          </w:p>
        </w:tc>
        <w:tc>
          <w:tcPr>
            <w:tcW w:type="dxa" w:w="1152"/>
            <w:shd w:val="clear" w:color="auto" w:fill="EAF0F7"/>
          </w:tcPr>
          <w:p>
            <w:pPr>
              <w:spacing w:after="0"/>
              <w:jc w:val="center"/>
            </w:pPr>
            <w:r/>
            <w:r>
              <w:rPr>
                <w:sz w:val="19"/>
              </w:rPr>
              <w:t>1.78</w:t>
            </w:r>
          </w:p>
        </w:tc>
        <w:tc>
          <w:tcPr>
            <w:tcW w:type="dxa" w:w="1008"/>
            <w:shd w:val="clear" w:color="auto" w:fill="EAF0F7"/>
          </w:tcPr>
          <w:p>
            <w:pPr>
              <w:spacing w:after="0"/>
              <w:jc w:val="center"/>
            </w:pPr>
            <w:r/>
            <w:r>
              <w:rPr>
                <w:sz w:val="19"/>
              </w:rPr>
              <w:t>-0.90</w:t>
            </w:r>
          </w:p>
        </w:tc>
        <w:tc>
          <w:tcPr>
            <w:tcW w:type="dxa" w:w="1152"/>
            <w:shd w:val="clear" w:color="auto" w:fill="EAF0F7"/>
          </w:tcPr>
          <w:p>
            <w:pPr>
              <w:spacing w:after="0"/>
              <w:jc w:val="center"/>
            </w:pPr>
            <w:r/>
            <w:r>
              <w:rPr>
                <w:sz w:val="19"/>
              </w:rPr>
              <w:t>0.370</w:t>
            </w:r>
          </w:p>
        </w:tc>
        <w:tc>
          <w:tcPr>
            <w:tcW w:type="dxa" w:w="1152"/>
            <w:shd w:val="clear" w:color="auto" w:fill="EAF0F7"/>
          </w:tcPr>
          <w:p>
            <w:pPr>
              <w:spacing w:after="0"/>
              <w:jc w:val="center"/>
            </w:pPr>
            <w:r/>
            <w:r>
              <w:rPr>
                <w:sz w:val="19"/>
              </w:rPr>
              <w:t>-0.01</w:t>
            </w:r>
          </w:p>
        </w:tc>
      </w:tr>
      <w:tr>
        <w:tc>
          <w:tcPr>
            <w:tcW w:type="dxa" w:w="3456"/>
          </w:tcPr>
          <w:p>
            <w:pPr>
              <w:spacing w:after="0"/>
            </w:pPr>
            <w:r/>
            <w:r>
              <w:rPr>
                <w:sz w:val="19"/>
              </w:rPr>
              <w:t>Fitness centres within 5 mi</w:t>
            </w:r>
          </w:p>
        </w:tc>
        <w:tc>
          <w:tcPr>
            <w:tcW w:type="dxa" w:w="2160"/>
          </w:tcPr>
          <w:p>
            <w:pPr>
              <w:spacing w:after="0"/>
              <w:jc w:val="center"/>
            </w:pPr>
            <w:r/>
            <w:r>
              <w:rPr>
                <w:sz w:val="19"/>
              </w:rPr>
              <w:t>-1.02</w:t>
            </w:r>
          </w:p>
        </w:tc>
        <w:tc>
          <w:tcPr>
            <w:tcW w:type="dxa" w:w="1152"/>
          </w:tcPr>
          <w:p>
            <w:pPr>
              <w:spacing w:after="0"/>
              <w:jc w:val="center"/>
            </w:pPr>
            <w:r/>
            <w:r>
              <w:rPr>
                <w:sz w:val="19"/>
              </w:rPr>
              <w:t>1.08</w:t>
            </w:r>
          </w:p>
        </w:tc>
        <w:tc>
          <w:tcPr>
            <w:tcW w:type="dxa" w:w="1008"/>
          </w:tcPr>
          <w:p>
            <w:pPr>
              <w:spacing w:after="0"/>
              <w:jc w:val="center"/>
            </w:pPr>
            <w:r/>
            <w:r>
              <w:rPr>
                <w:sz w:val="19"/>
              </w:rPr>
              <w:t>-0.94</w:t>
            </w:r>
          </w:p>
        </w:tc>
        <w:tc>
          <w:tcPr>
            <w:tcW w:type="dxa" w:w="1152"/>
          </w:tcPr>
          <w:p>
            <w:pPr>
              <w:spacing w:after="0"/>
              <w:jc w:val="center"/>
            </w:pPr>
            <w:r/>
            <w:r>
              <w:rPr>
                <w:sz w:val="19"/>
              </w:rPr>
              <w:t>0.347</w:t>
            </w:r>
          </w:p>
        </w:tc>
        <w:tc>
          <w:tcPr>
            <w:tcW w:type="dxa" w:w="1152"/>
          </w:tcPr>
          <w:p>
            <w:pPr>
              <w:spacing w:after="0"/>
              <w:jc w:val="center"/>
            </w:pPr>
            <w:r/>
            <w:r>
              <w:rPr>
                <w:sz w:val="19"/>
              </w:rPr>
              <w:t>-0.01</w:t>
            </w:r>
          </w:p>
        </w:tc>
      </w:tr>
      <w:tr>
        <w:tc>
          <w:tcPr>
            <w:tcW w:type="dxa" w:w="3456"/>
            <w:shd w:val="clear" w:color="auto" w:fill="EAF0F7"/>
          </w:tcPr>
          <w:p>
            <w:pPr>
              <w:spacing w:after="0"/>
            </w:pPr>
            <w:r/>
            <w:r>
              <w:rPr>
                <w:sz w:val="19"/>
              </w:rPr>
              <w:t>R² / adj. R² / F</w:t>
            </w:r>
          </w:p>
        </w:tc>
        <w:tc>
          <w:tcPr>
            <w:tcW w:type="dxa" w:w="2160"/>
            <w:shd w:val="clear" w:color="auto" w:fill="EAF0F7"/>
          </w:tcPr>
          <w:p>
            <w:pPr>
              <w:spacing w:after="0"/>
              <w:jc w:val="center"/>
            </w:pPr>
            <w:r/>
            <w:r>
              <w:rPr>
                <w:sz w:val="19"/>
              </w:rPr>
              <w:t>0.673 / 0.671 / 353.7</w:t>
            </w:r>
          </w:p>
        </w:tc>
        <w:tc>
          <w:tcPr>
            <w:tcW w:type="dxa" w:w="1152"/>
            <w:shd w:val="clear" w:color="auto" w:fill="EAF0F7"/>
          </w:tcPr>
          <w:p>
            <w:pPr>
              <w:spacing w:after="0"/>
              <w:jc w:val="center"/>
            </w:pPr>
            <w:r/>
            <w:r>
              <w:rPr>
                <w:sz w:val="19"/>
              </w:rPr>
            </w:r>
          </w:p>
        </w:tc>
        <w:tc>
          <w:tcPr>
            <w:tcW w:type="dxa" w:w="1008"/>
            <w:shd w:val="clear" w:color="auto" w:fill="EAF0F7"/>
          </w:tcPr>
          <w:p>
            <w:pPr>
              <w:spacing w:after="0"/>
              <w:jc w:val="center"/>
            </w:pPr>
            <w:r/>
            <w:r>
              <w:rPr>
                <w:sz w:val="19"/>
              </w:rPr>
            </w:r>
          </w:p>
        </w:tc>
        <w:tc>
          <w:tcPr>
            <w:tcW w:type="dxa" w:w="1152"/>
            <w:shd w:val="clear" w:color="auto" w:fill="EAF0F7"/>
          </w:tcPr>
          <w:p>
            <w:pPr>
              <w:spacing w:after="0"/>
              <w:jc w:val="center"/>
            </w:pPr>
            <w:r/>
            <w:r>
              <w:rPr>
                <w:sz w:val="19"/>
              </w:rPr>
              <w:t>&lt;0.001</w:t>
            </w:r>
          </w:p>
        </w:tc>
        <w:tc>
          <w:tcPr>
            <w:tcW w:type="dxa" w:w="1152"/>
            <w:shd w:val="clear" w:color="auto" w:fill="EAF0F7"/>
          </w:tcPr>
          <w:p>
            <w:pPr>
              <w:spacing w:after="0"/>
              <w:jc w:val="center"/>
            </w:pPr>
            <w:r/>
            <w:r>
              <w:rPr>
                <w:sz w:val="19"/>
              </w:rPr>
            </w:r>
          </w:p>
        </w:tc>
      </w:tr>
    </w:tbl>
    <w:p>
      <w:pPr>
        <w:spacing w:after="40"/>
      </w:pPr>
    </w:p>
    <w:p>
      <w:r>
        <w:rPr>
          <w:b w:val="0"/>
          <w:i w:val="0"/>
        </w:rPr>
      </w:r>
      <w:r>
        <w:rPr>
          <w:b/>
          <w:i w:val="0"/>
        </w:rPr>
        <w:t>Reading Model 1.</w:t>
      </w:r>
      <w:r>
        <w:rPr>
          <w:b w:val="0"/>
          <w:i w:val="0"/>
        </w:rPr>
        <w:t xml:space="preserve"> The model explains 67% of the variance and the overall F-test is significant (F = 353.7, p&lt;0.001). Holding other factors constant, an endcap adds about 305 units a week, a regional rep 77, a demo 111 in the demo week and 74 and 68 in the weeks after, and each extra $1 of price removes 29 units. Natural retailers and fitness centres are not significant (p = 0.37, 0.35). Section 3 shows that Model 1 fails its assumption checks, so we do not stop here.</w:t>
      </w:r>
    </w:p>
    <w:p>
      <w:pPr>
        <w:pStyle w:val="Heading2"/>
      </w:pPr>
      <w:r>
        <w:t>2.2 Building the final model by stepwise regression (Model 2)</w:t>
      </w:r>
    </w:p>
    <w:p>
      <w:r>
        <w:rPr>
          <w:b w:val="0"/>
          <w:i w:val="0"/>
        </w:rPr>
        <w:t xml:space="preserve">Rather than choose variables ourselves, we let </w:t>
      </w:r>
      <w:r>
        <w:rPr>
          <w:b/>
          <w:i w:val="0"/>
        </w:rPr>
        <w:t>forward stepwise regression</w:t>
      </w:r>
      <w:r>
        <w:rPr>
          <w:b w:val="0"/>
          <w:i w:val="0"/>
        </w:rPr>
        <w:t xml:space="preserve"> pick them (as taught in class). The candidate pool is the eight variables plus </w:t>
      </w:r>
      <w:r>
        <w:rPr>
          <w:b/>
          <w:i w:val="0"/>
        </w:rPr>
        <w:t>16 interaction terms</w:t>
      </w:r>
      <w:r>
        <w:rPr>
          <w:b w:val="0"/>
          <w:i w:val="0"/>
        </w:rPr>
        <w:t xml:space="preserve"> (rep, endcap and price crossed with the demo stages, and rep or endcap crossed with each other and with the neighbourhood variables). At each step the variable with the largest partial correlation with units enters if its partial F-test gives p &lt; 0.05 (p-in), and any variable already in is removed if p &gt; 0.10 (p-out).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shd w:val="clear" w:color="auto" w:fill="1F4E79"/>
          </w:tcPr>
          <w:p>
            <w:pPr>
              <w:spacing w:after="0"/>
            </w:pPr>
            <w:r/>
            <w:r>
              <w:rPr>
                <w:b/>
                <w:color w:val="FFFFFF"/>
                <w:sz w:val="18"/>
              </w:rPr>
              <w:t>Step</w:t>
            </w:r>
          </w:p>
        </w:tc>
        <w:tc>
          <w:tcPr>
            <w:tcW w:type="dxa" w:w="3312"/>
            <w:shd w:val="clear" w:color="auto" w:fill="1F4E79"/>
          </w:tcPr>
          <w:p>
            <w:pPr>
              <w:spacing w:after="0"/>
              <w:jc w:val="center"/>
            </w:pPr>
            <w:r/>
            <w:r>
              <w:rPr>
                <w:b/>
                <w:color w:val="FFFFFF"/>
                <w:sz w:val="18"/>
              </w:rPr>
              <w:t>Variable entered</w:t>
            </w:r>
          </w:p>
        </w:tc>
        <w:tc>
          <w:tcPr>
            <w:tcW w:type="dxa" w:w="1152"/>
            <w:shd w:val="clear" w:color="auto" w:fill="1F4E79"/>
          </w:tcPr>
          <w:p>
            <w:pPr>
              <w:spacing w:after="0"/>
              <w:jc w:val="center"/>
            </w:pPr>
            <w:r/>
            <w:r>
              <w:rPr>
                <w:b/>
                <w:color w:val="FFFFFF"/>
                <w:sz w:val="18"/>
              </w:rPr>
              <w:t>t-stat</w:t>
            </w:r>
          </w:p>
        </w:tc>
        <w:tc>
          <w:tcPr>
            <w:tcW w:type="dxa" w:w="1152"/>
            <w:shd w:val="clear" w:color="auto" w:fill="1F4E79"/>
          </w:tcPr>
          <w:p>
            <w:pPr>
              <w:spacing w:after="0"/>
              <w:jc w:val="center"/>
            </w:pPr>
            <w:r/>
            <w:r>
              <w:rPr>
                <w:b/>
                <w:color w:val="FFFFFF"/>
                <w:sz w:val="18"/>
              </w:rPr>
              <w:t>p-value</w:t>
            </w:r>
          </w:p>
        </w:tc>
        <w:tc>
          <w:tcPr>
            <w:tcW w:type="dxa" w:w="1008"/>
            <w:shd w:val="clear" w:color="auto" w:fill="1F4E79"/>
          </w:tcPr>
          <w:p>
            <w:pPr>
              <w:spacing w:after="0"/>
              <w:jc w:val="center"/>
            </w:pPr>
            <w:r/>
            <w:r>
              <w:rPr>
                <w:b/>
                <w:color w:val="FFFFFF"/>
                <w:sz w:val="18"/>
              </w:rPr>
              <w:t>R²</w:t>
            </w:r>
          </w:p>
        </w:tc>
        <w:tc>
          <w:tcPr>
            <w:tcW w:type="dxa" w:w="1152"/>
            <w:shd w:val="clear" w:color="auto" w:fill="1F4E79"/>
          </w:tcPr>
          <w:p>
            <w:pPr>
              <w:spacing w:after="0"/>
              <w:jc w:val="center"/>
            </w:pPr>
            <w:r/>
            <w:r>
              <w:rPr>
                <w:b/>
                <w:color w:val="FFFFFF"/>
                <w:sz w:val="18"/>
              </w:rPr>
              <w:t>Adj. R²</w:t>
            </w:r>
          </w:p>
        </w:tc>
        <w:tc>
          <w:tcPr>
            <w:tcW w:type="dxa" w:w="1008"/>
            <w:shd w:val="clear" w:color="auto" w:fill="1F4E79"/>
          </w:tcPr>
          <w:p>
            <w:pPr>
              <w:spacing w:after="0"/>
              <w:jc w:val="center"/>
            </w:pPr>
            <w:r/>
            <w:r>
              <w:rPr>
                <w:b/>
                <w:color w:val="FFFFFF"/>
                <w:sz w:val="18"/>
              </w:rPr>
              <w:t>ΔR²</w:t>
            </w:r>
          </w:p>
        </w:tc>
      </w:tr>
      <w:tr>
        <w:tc>
          <w:tcPr>
            <w:tcW w:type="dxa" w:w="720"/>
          </w:tcPr>
          <w:p>
            <w:pPr>
              <w:spacing w:after="0"/>
            </w:pPr>
            <w:r/>
            <w:r>
              <w:rPr>
                <w:sz w:val="18"/>
              </w:rPr>
              <w:t>1</w:t>
            </w:r>
          </w:p>
        </w:tc>
        <w:tc>
          <w:tcPr>
            <w:tcW w:type="dxa" w:w="3312"/>
          </w:tcPr>
          <w:p>
            <w:pPr>
              <w:spacing w:after="0"/>
              <w:jc w:val="center"/>
            </w:pPr>
            <w:r/>
            <w:r>
              <w:rPr>
                <w:sz w:val="18"/>
              </w:rPr>
              <w:t>Endcap × Rep (1 only if both)</w:t>
            </w:r>
          </w:p>
        </w:tc>
        <w:tc>
          <w:tcPr>
            <w:tcW w:type="dxa" w:w="1152"/>
          </w:tcPr>
          <w:p>
            <w:pPr>
              <w:spacing w:after="0"/>
              <w:jc w:val="center"/>
            </w:pPr>
            <w:r/>
            <w:r>
              <w:rPr>
                <w:sz w:val="18"/>
              </w:rPr>
              <w:t>41.0</w:t>
            </w:r>
          </w:p>
        </w:tc>
        <w:tc>
          <w:tcPr>
            <w:tcW w:type="dxa" w:w="1152"/>
          </w:tcPr>
          <w:p>
            <w:pPr>
              <w:spacing w:after="0"/>
              <w:jc w:val="center"/>
            </w:pPr>
            <w:r/>
            <w:r>
              <w:rPr>
                <w:sz w:val="18"/>
              </w:rPr>
              <w:t>&lt;0.001</w:t>
            </w:r>
          </w:p>
        </w:tc>
        <w:tc>
          <w:tcPr>
            <w:tcW w:type="dxa" w:w="1008"/>
          </w:tcPr>
          <w:p>
            <w:pPr>
              <w:spacing w:after="0"/>
              <w:jc w:val="center"/>
            </w:pPr>
            <w:r/>
            <w:r>
              <w:rPr>
                <w:sz w:val="18"/>
              </w:rPr>
              <w:t>0.548</w:t>
            </w:r>
          </w:p>
        </w:tc>
        <w:tc>
          <w:tcPr>
            <w:tcW w:type="dxa" w:w="1152"/>
          </w:tcPr>
          <w:p>
            <w:pPr>
              <w:spacing w:after="0"/>
              <w:jc w:val="center"/>
            </w:pPr>
            <w:r/>
            <w:r>
              <w:rPr>
                <w:sz w:val="18"/>
              </w:rPr>
              <w:t>0.548</w:t>
            </w:r>
          </w:p>
        </w:tc>
        <w:tc>
          <w:tcPr>
            <w:tcW w:type="dxa" w:w="1008"/>
          </w:tcPr>
          <w:p>
            <w:pPr>
              <w:spacing w:after="0"/>
              <w:jc w:val="center"/>
            </w:pPr>
            <w:r/>
            <w:r>
              <w:rPr>
                <w:sz w:val="18"/>
              </w:rPr>
              <w:t>0.548</w:t>
            </w:r>
          </w:p>
        </w:tc>
      </w:tr>
      <w:tr>
        <w:tc>
          <w:tcPr>
            <w:tcW w:type="dxa" w:w="720"/>
            <w:shd w:val="clear" w:color="auto" w:fill="EAF0F7"/>
          </w:tcPr>
          <w:p>
            <w:pPr>
              <w:spacing w:after="0"/>
            </w:pPr>
            <w:r/>
            <w:r>
              <w:rPr>
                <w:sz w:val="18"/>
              </w:rPr>
              <w:t>2</w:t>
            </w:r>
          </w:p>
        </w:tc>
        <w:tc>
          <w:tcPr>
            <w:tcW w:type="dxa" w:w="3312"/>
            <w:shd w:val="clear" w:color="auto" w:fill="EAF0F7"/>
          </w:tcPr>
          <w:p>
            <w:pPr>
              <w:spacing w:after="0"/>
              <w:jc w:val="center"/>
            </w:pPr>
            <w:r/>
            <w:r>
              <w:rPr>
                <w:sz w:val="18"/>
              </w:rPr>
              <w:t>Regional sales rep (1/0)</w:t>
            </w:r>
          </w:p>
        </w:tc>
        <w:tc>
          <w:tcPr>
            <w:tcW w:type="dxa" w:w="1152"/>
            <w:shd w:val="clear" w:color="auto" w:fill="EAF0F7"/>
          </w:tcPr>
          <w:p>
            <w:pPr>
              <w:spacing w:after="0"/>
              <w:jc w:val="center"/>
            </w:pPr>
            <w:r/>
            <w:r>
              <w:rPr>
                <w:sz w:val="18"/>
              </w:rPr>
              <w:t>22.1</w:t>
            </w:r>
          </w:p>
        </w:tc>
        <w:tc>
          <w:tcPr>
            <w:tcW w:type="dxa" w:w="1152"/>
            <w:shd w:val="clear" w:color="auto" w:fill="EAF0F7"/>
          </w:tcPr>
          <w:p>
            <w:pPr>
              <w:spacing w:after="0"/>
              <w:jc w:val="center"/>
            </w:pPr>
            <w:r/>
            <w:r>
              <w:rPr>
                <w:sz w:val="18"/>
              </w:rPr>
              <w:t>&lt;0.001</w:t>
            </w:r>
          </w:p>
        </w:tc>
        <w:tc>
          <w:tcPr>
            <w:tcW w:type="dxa" w:w="1008"/>
            <w:shd w:val="clear" w:color="auto" w:fill="EAF0F7"/>
          </w:tcPr>
          <w:p>
            <w:pPr>
              <w:spacing w:after="0"/>
              <w:jc w:val="center"/>
            </w:pPr>
            <w:r/>
            <w:r>
              <w:rPr>
                <w:sz w:val="18"/>
              </w:rPr>
              <w:t>0.666</w:t>
            </w:r>
          </w:p>
        </w:tc>
        <w:tc>
          <w:tcPr>
            <w:tcW w:type="dxa" w:w="1152"/>
            <w:shd w:val="clear" w:color="auto" w:fill="EAF0F7"/>
          </w:tcPr>
          <w:p>
            <w:pPr>
              <w:spacing w:after="0"/>
              <w:jc w:val="center"/>
            </w:pPr>
            <w:r/>
            <w:r>
              <w:rPr>
                <w:sz w:val="18"/>
              </w:rPr>
              <w:t>0.666</w:t>
            </w:r>
          </w:p>
        </w:tc>
        <w:tc>
          <w:tcPr>
            <w:tcW w:type="dxa" w:w="1008"/>
            <w:shd w:val="clear" w:color="auto" w:fill="EAF0F7"/>
          </w:tcPr>
          <w:p>
            <w:pPr>
              <w:spacing w:after="0"/>
              <w:jc w:val="center"/>
            </w:pPr>
            <w:r/>
            <w:r>
              <w:rPr>
                <w:sz w:val="18"/>
              </w:rPr>
              <w:t>0.118</w:t>
            </w:r>
          </w:p>
        </w:tc>
      </w:tr>
      <w:tr>
        <w:tc>
          <w:tcPr>
            <w:tcW w:type="dxa" w:w="720"/>
          </w:tcPr>
          <w:p>
            <w:pPr>
              <w:spacing w:after="0"/>
            </w:pPr>
            <w:r/>
            <w:r>
              <w:rPr>
                <w:sz w:val="18"/>
              </w:rPr>
              <w:t>3</w:t>
            </w:r>
          </w:p>
        </w:tc>
        <w:tc>
          <w:tcPr>
            <w:tcW w:type="dxa" w:w="3312"/>
          </w:tcPr>
          <w:p>
            <w:pPr>
              <w:spacing w:after="0"/>
              <w:jc w:val="center"/>
            </w:pPr>
            <w:r/>
            <w:r>
              <w:rPr>
                <w:sz w:val="18"/>
              </w:rPr>
              <w:t>Demo 1-3 weeks ago (1/0)</w:t>
            </w:r>
          </w:p>
        </w:tc>
        <w:tc>
          <w:tcPr>
            <w:tcW w:type="dxa" w:w="1152"/>
          </w:tcPr>
          <w:p>
            <w:pPr>
              <w:spacing w:after="0"/>
              <w:jc w:val="center"/>
            </w:pPr>
            <w:r/>
            <w:r>
              <w:rPr>
                <w:sz w:val="18"/>
              </w:rPr>
              <w:t>16.6</w:t>
            </w:r>
          </w:p>
        </w:tc>
        <w:tc>
          <w:tcPr>
            <w:tcW w:type="dxa" w:w="1152"/>
          </w:tcPr>
          <w:p>
            <w:pPr>
              <w:spacing w:after="0"/>
              <w:jc w:val="center"/>
            </w:pPr>
            <w:r/>
            <w:r>
              <w:rPr>
                <w:sz w:val="18"/>
              </w:rPr>
              <w:t>&lt;0.001</w:t>
            </w:r>
          </w:p>
        </w:tc>
        <w:tc>
          <w:tcPr>
            <w:tcW w:type="dxa" w:w="1008"/>
          </w:tcPr>
          <w:p>
            <w:pPr>
              <w:spacing w:after="0"/>
              <w:jc w:val="center"/>
            </w:pPr>
            <w:r/>
            <w:r>
              <w:rPr>
                <w:sz w:val="18"/>
              </w:rPr>
              <w:t>0.722</w:t>
            </w:r>
          </w:p>
        </w:tc>
        <w:tc>
          <w:tcPr>
            <w:tcW w:type="dxa" w:w="1152"/>
          </w:tcPr>
          <w:p>
            <w:pPr>
              <w:spacing w:after="0"/>
              <w:jc w:val="center"/>
            </w:pPr>
            <w:r/>
            <w:r>
              <w:rPr>
                <w:sz w:val="18"/>
              </w:rPr>
              <w:t>0.722</w:t>
            </w:r>
          </w:p>
        </w:tc>
        <w:tc>
          <w:tcPr>
            <w:tcW w:type="dxa" w:w="1008"/>
          </w:tcPr>
          <w:p>
            <w:pPr>
              <w:spacing w:after="0"/>
              <w:jc w:val="center"/>
            </w:pPr>
            <w:r/>
            <w:r>
              <w:rPr>
                <w:sz w:val="18"/>
              </w:rPr>
              <w:t>0.056</w:t>
            </w:r>
          </w:p>
        </w:tc>
      </w:tr>
      <w:tr>
        <w:tc>
          <w:tcPr>
            <w:tcW w:type="dxa" w:w="720"/>
            <w:shd w:val="clear" w:color="auto" w:fill="EAF0F7"/>
          </w:tcPr>
          <w:p>
            <w:pPr>
              <w:spacing w:after="0"/>
            </w:pPr>
            <w:r/>
            <w:r>
              <w:rPr>
                <w:sz w:val="18"/>
              </w:rPr>
              <w:t>4</w:t>
            </w:r>
          </w:p>
        </w:tc>
        <w:tc>
          <w:tcPr>
            <w:tcW w:type="dxa" w:w="3312"/>
            <w:shd w:val="clear" w:color="auto" w:fill="EAF0F7"/>
          </w:tcPr>
          <w:p>
            <w:pPr>
              <w:spacing w:after="0"/>
              <w:jc w:val="center"/>
            </w:pPr>
            <w:r/>
            <w:r>
              <w:rPr>
                <w:sz w:val="18"/>
              </w:rPr>
              <w:t>Demo this week (1/0)</w:t>
            </w:r>
          </w:p>
        </w:tc>
        <w:tc>
          <w:tcPr>
            <w:tcW w:type="dxa" w:w="1152"/>
            <w:shd w:val="clear" w:color="auto" w:fill="EAF0F7"/>
          </w:tcPr>
          <w:p>
            <w:pPr>
              <w:spacing w:after="0"/>
              <w:jc w:val="center"/>
            </w:pPr>
            <w:r/>
            <w:r>
              <w:rPr>
                <w:sz w:val="18"/>
              </w:rPr>
              <w:t>16.7</w:t>
            </w:r>
          </w:p>
        </w:tc>
        <w:tc>
          <w:tcPr>
            <w:tcW w:type="dxa" w:w="1152"/>
            <w:shd w:val="clear" w:color="auto" w:fill="EAF0F7"/>
          </w:tcPr>
          <w:p>
            <w:pPr>
              <w:spacing w:after="0"/>
              <w:jc w:val="center"/>
            </w:pPr>
            <w:r/>
            <w:r>
              <w:rPr>
                <w:sz w:val="18"/>
              </w:rPr>
              <w:t>&lt;0.001</w:t>
            </w:r>
          </w:p>
        </w:tc>
        <w:tc>
          <w:tcPr>
            <w:tcW w:type="dxa" w:w="1008"/>
            <w:shd w:val="clear" w:color="auto" w:fill="EAF0F7"/>
          </w:tcPr>
          <w:p>
            <w:pPr>
              <w:spacing w:after="0"/>
              <w:jc w:val="center"/>
            </w:pPr>
            <w:r/>
            <w:r>
              <w:rPr>
                <w:sz w:val="18"/>
              </w:rPr>
              <w:t>0.769</w:t>
            </w:r>
          </w:p>
        </w:tc>
        <w:tc>
          <w:tcPr>
            <w:tcW w:type="dxa" w:w="1152"/>
            <w:shd w:val="clear" w:color="auto" w:fill="EAF0F7"/>
          </w:tcPr>
          <w:p>
            <w:pPr>
              <w:spacing w:after="0"/>
              <w:jc w:val="center"/>
            </w:pPr>
            <w:r/>
            <w:r>
              <w:rPr>
                <w:sz w:val="18"/>
              </w:rPr>
              <w:t>0.768</w:t>
            </w:r>
          </w:p>
        </w:tc>
        <w:tc>
          <w:tcPr>
            <w:tcW w:type="dxa" w:w="1008"/>
            <w:shd w:val="clear" w:color="auto" w:fill="EAF0F7"/>
          </w:tcPr>
          <w:p>
            <w:pPr>
              <w:spacing w:after="0"/>
              <w:jc w:val="center"/>
            </w:pPr>
            <w:r/>
            <w:r>
              <w:rPr>
                <w:sz w:val="18"/>
              </w:rPr>
              <w:t>0.047</w:t>
            </w:r>
          </w:p>
        </w:tc>
      </w:tr>
      <w:tr>
        <w:tc>
          <w:tcPr>
            <w:tcW w:type="dxa" w:w="720"/>
          </w:tcPr>
          <w:p>
            <w:pPr>
              <w:spacing w:after="0"/>
            </w:pPr>
            <w:r/>
            <w:r>
              <w:rPr>
                <w:sz w:val="18"/>
              </w:rPr>
              <w:t>5</w:t>
            </w:r>
          </w:p>
        </w:tc>
        <w:tc>
          <w:tcPr>
            <w:tcW w:type="dxa" w:w="3312"/>
          </w:tcPr>
          <w:p>
            <w:pPr>
              <w:spacing w:after="0"/>
              <w:jc w:val="center"/>
            </w:pPr>
            <w:r/>
            <w:r>
              <w:rPr>
                <w:sz w:val="18"/>
              </w:rPr>
              <w:t>Demo 4-5+ weeks ago (1/0)</w:t>
            </w:r>
          </w:p>
        </w:tc>
        <w:tc>
          <w:tcPr>
            <w:tcW w:type="dxa" w:w="1152"/>
          </w:tcPr>
          <w:p>
            <w:pPr>
              <w:spacing w:after="0"/>
              <w:jc w:val="center"/>
            </w:pPr>
            <w:r/>
            <w:r>
              <w:rPr>
                <w:sz w:val="18"/>
              </w:rPr>
              <w:t>14.3</w:t>
            </w:r>
          </w:p>
        </w:tc>
        <w:tc>
          <w:tcPr>
            <w:tcW w:type="dxa" w:w="1152"/>
          </w:tcPr>
          <w:p>
            <w:pPr>
              <w:spacing w:after="0"/>
              <w:jc w:val="center"/>
            </w:pPr>
            <w:r/>
            <w:r>
              <w:rPr>
                <w:sz w:val="18"/>
              </w:rPr>
              <w:t>&lt;0.001</w:t>
            </w:r>
          </w:p>
        </w:tc>
        <w:tc>
          <w:tcPr>
            <w:tcW w:type="dxa" w:w="1008"/>
          </w:tcPr>
          <w:p>
            <w:pPr>
              <w:spacing w:after="0"/>
              <w:jc w:val="center"/>
            </w:pPr>
            <w:r/>
            <w:r>
              <w:rPr>
                <w:sz w:val="18"/>
              </w:rPr>
              <w:t>0.798</w:t>
            </w:r>
          </w:p>
        </w:tc>
        <w:tc>
          <w:tcPr>
            <w:tcW w:type="dxa" w:w="1152"/>
          </w:tcPr>
          <w:p>
            <w:pPr>
              <w:spacing w:after="0"/>
              <w:jc w:val="center"/>
            </w:pPr>
            <w:r/>
            <w:r>
              <w:rPr>
                <w:sz w:val="18"/>
              </w:rPr>
              <w:t>0.798</w:t>
            </w:r>
          </w:p>
        </w:tc>
        <w:tc>
          <w:tcPr>
            <w:tcW w:type="dxa" w:w="1008"/>
          </w:tcPr>
          <w:p>
            <w:pPr>
              <w:spacing w:after="0"/>
              <w:jc w:val="center"/>
            </w:pPr>
            <w:r/>
            <w:r>
              <w:rPr>
                <w:sz w:val="18"/>
              </w:rPr>
              <w:t>0.030</w:t>
            </w:r>
          </w:p>
        </w:tc>
      </w:tr>
      <w:tr>
        <w:tc>
          <w:tcPr>
            <w:tcW w:type="dxa" w:w="720"/>
            <w:shd w:val="clear" w:color="auto" w:fill="EAF0F7"/>
          </w:tcPr>
          <w:p>
            <w:pPr>
              <w:spacing w:after="0"/>
            </w:pPr>
            <w:r/>
            <w:r>
              <w:rPr>
                <w:sz w:val="18"/>
              </w:rPr>
              <w:t>6</w:t>
            </w:r>
          </w:p>
        </w:tc>
        <w:tc>
          <w:tcPr>
            <w:tcW w:type="dxa" w:w="3312"/>
            <w:shd w:val="clear" w:color="auto" w:fill="EAF0F7"/>
          </w:tcPr>
          <w:p>
            <w:pPr>
              <w:spacing w:after="0"/>
              <w:jc w:val="center"/>
            </w:pPr>
            <w:r/>
            <w:r>
              <w:rPr>
                <w:sz w:val="18"/>
              </w:rPr>
              <w:t>Average retail price ($)</w:t>
            </w:r>
          </w:p>
        </w:tc>
        <w:tc>
          <w:tcPr>
            <w:tcW w:type="dxa" w:w="1152"/>
            <w:shd w:val="clear" w:color="auto" w:fill="EAF0F7"/>
          </w:tcPr>
          <w:p>
            <w:pPr>
              <w:spacing w:after="0"/>
              <w:jc w:val="center"/>
            </w:pPr>
            <w:r/>
            <w:r>
              <w:rPr>
                <w:sz w:val="18"/>
              </w:rPr>
              <w:t>-7.3</w:t>
            </w:r>
          </w:p>
        </w:tc>
        <w:tc>
          <w:tcPr>
            <w:tcW w:type="dxa" w:w="1152"/>
            <w:shd w:val="clear" w:color="auto" w:fill="EAF0F7"/>
          </w:tcPr>
          <w:p>
            <w:pPr>
              <w:spacing w:after="0"/>
              <w:jc w:val="center"/>
            </w:pPr>
            <w:r/>
            <w:r>
              <w:rPr>
                <w:sz w:val="18"/>
              </w:rPr>
              <w:t>&lt;0.001</w:t>
            </w:r>
          </w:p>
        </w:tc>
        <w:tc>
          <w:tcPr>
            <w:tcW w:type="dxa" w:w="1008"/>
            <w:shd w:val="clear" w:color="auto" w:fill="EAF0F7"/>
          </w:tcPr>
          <w:p>
            <w:pPr>
              <w:spacing w:after="0"/>
              <w:jc w:val="center"/>
            </w:pPr>
            <w:r/>
            <w:r>
              <w:rPr>
                <w:sz w:val="18"/>
              </w:rPr>
              <w:t>0.806</w:t>
            </w:r>
          </w:p>
        </w:tc>
        <w:tc>
          <w:tcPr>
            <w:tcW w:type="dxa" w:w="1152"/>
            <w:shd w:val="clear" w:color="auto" w:fill="EAF0F7"/>
          </w:tcPr>
          <w:p>
            <w:pPr>
              <w:spacing w:after="0"/>
              <w:jc w:val="center"/>
            </w:pPr>
            <w:r/>
            <w:r>
              <w:rPr>
                <w:sz w:val="18"/>
              </w:rPr>
              <w:t>0.805</w:t>
            </w:r>
          </w:p>
        </w:tc>
        <w:tc>
          <w:tcPr>
            <w:tcW w:type="dxa" w:w="1008"/>
            <w:shd w:val="clear" w:color="auto" w:fill="EAF0F7"/>
          </w:tcPr>
          <w:p>
            <w:pPr>
              <w:spacing w:after="0"/>
              <w:jc w:val="center"/>
            </w:pPr>
            <w:r/>
            <w:r>
              <w:rPr>
                <w:sz w:val="18"/>
              </w:rPr>
              <w:t>0.007</w:t>
            </w:r>
          </w:p>
        </w:tc>
      </w:tr>
    </w:tbl>
    <w:p>
      <w:pPr>
        <w:spacing w:after="40"/>
      </w:pPr>
    </w:p>
    <w:p>
      <w:r>
        <w:rPr>
          <w:b w:val="0"/>
          <w:i w:val="0"/>
        </w:rPr>
      </w:r>
      <w:r>
        <w:rPr>
          <w:b/>
          <w:i w:val="0"/>
        </w:rPr>
        <w:t>Exhaustive check.</w:t>
      </w:r>
      <w:r>
        <w:rPr>
          <w:b w:val="0"/>
          <w:i w:val="0"/>
        </w:rPr>
        <w:t xml:space="preserve"> To make sure we did not miss a better combination, we repeated stepwise on a pool containing every two-, three- and four-way product of the eight variables (154 terms, 108 usable after dropping terms that are non-zero in fewer than 10 rows). The selected model is </w:t>
      </w:r>
      <w:r>
        <w:rPr>
          <w:b/>
          <w:i w:val="0"/>
        </w:rPr>
        <w:t>identical</w:t>
      </w:r>
      <w:r>
        <w:rPr>
          <w:b w:val="0"/>
          <w:i w:val="0"/>
        </w:rPr>
        <w:t xml:space="preserve"> in all four pools (main effects only; plus two-way; plus two- and three-way; plus all up to four-way). Adding each of the 117 remaining terms to Model 2 one at a time, none is significant (smallest p = 0.09; about 6 would be expected to pass at 5% by chance alone). In 10-fold cross-validation with whole stores held out, Model 2 has the lowest prediction error (RMSE 49.1 units against 68.0 for Model 1), ties with a lasso on all terms (49.5) and beats gradient boosting (50.4) and random forest (52.6). Putting all 108 terms into one ordinary regression overfits badly (RMSE 305).</w:t>
      </w:r>
    </w:p>
    <w:p>
      <w:r>
        <w:rPr>
          <w:b w:val="0"/>
          <w:i w:val="0"/>
        </w:rPr>
      </w:r>
      <w:r>
        <w:rPr>
          <w:b/>
          <w:i w:val="0"/>
        </w:rPr>
        <w:t>What stepwise told us.</w:t>
      </w:r>
      <w:r>
        <w:rPr>
          <w:b w:val="0"/>
          <w:i w:val="0"/>
        </w:rPr>
        <w:t xml:space="preserve"> The </w:t>
      </w:r>
      <w:r>
        <w:rPr>
          <w:b/>
          <w:i w:val="0"/>
        </w:rPr>
        <w:t>Endcap × Rep interaction enters first</w:t>
      </w:r>
      <w:r>
        <w:rPr>
          <w:b w:val="0"/>
          <w:i w:val="0"/>
        </w:rPr>
        <w:t xml:space="preserve"> and alone explains 55% of the variation. The plain Endcap variable never enters; once the interaction is in, adding Endcap back is insignificant (p = 0.96). Rep, the three demo dummies and Price follow. </w:t>
      </w:r>
      <w:r>
        <w:rPr>
          <w:b/>
          <w:i w:val="0"/>
        </w:rPr>
        <w:t>Natural, Fitness and all other interactions are never selected</w:t>
      </w:r>
      <w:r>
        <w:rPr>
          <w:b w:val="0"/>
          <w:i w:val="0"/>
        </w:rPr>
        <w:t xml:space="preserve"> (Section 6). No variable was removed at any step. Running stepwise on the eight main effects only gives a model with R² = 0.67 and the same assumption problems as Model 1; adding the single interaction raises R² from 0.67 to 0.81.</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168"/>
            <w:shd w:val="clear" w:color="auto" w:fill="1F4E79"/>
          </w:tcPr>
          <w:p>
            <w:pPr>
              <w:spacing w:after="0"/>
            </w:pPr>
            <w:r/>
            <w:r>
              <w:rPr>
                <w:b/>
                <w:color w:val="FFFFFF"/>
                <w:sz w:val="19"/>
              </w:rPr>
              <w:t>Variable</w:t>
            </w:r>
          </w:p>
        </w:tc>
        <w:tc>
          <w:tcPr>
            <w:tcW w:type="dxa" w:w="2016"/>
            <w:shd w:val="clear" w:color="auto" w:fill="1F4E79"/>
          </w:tcPr>
          <w:p>
            <w:pPr>
              <w:spacing w:after="0"/>
              <w:jc w:val="center"/>
            </w:pPr>
            <w:r/>
            <w:r>
              <w:rPr>
                <w:b/>
                <w:color w:val="FFFFFF"/>
                <w:sz w:val="19"/>
              </w:rPr>
              <w:t>Coef.</w:t>
            </w:r>
          </w:p>
        </w:tc>
        <w:tc>
          <w:tcPr>
            <w:tcW w:type="dxa" w:w="1152"/>
            <w:shd w:val="clear" w:color="auto" w:fill="1F4E79"/>
          </w:tcPr>
          <w:p>
            <w:pPr>
              <w:spacing w:after="0"/>
              <w:jc w:val="center"/>
            </w:pPr>
            <w:r/>
            <w:r>
              <w:rPr>
                <w:b/>
                <w:color w:val="FFFFFF"/>
                <w:sz w:val="19"/>
              </w:rPr>
              <w:t>Std. err.</w:t>
            </w:r>
          </w:p>
        </w:tc>
        <w:tc>
          <w:tcPr>
            <w:tcW w:type="dxa" w:w="1152"/>
            <w:shd w:val="clear" w:color="auto" w:fill="1F4E79"/>
          </w:tcPr>
          <w:p>
            <w:pPr>
              <w:spacing w:after="0"/>
              <w:jc w:val="center"/>
            </w:pPr>
            <w:r/>
            <w:r>
              <w:rPr>
                <w:b/>
                <w:color w:val="FFFFFF"/>
                <w:sz w:val="19"/>
              </w:rPr>
              <w:t>p-value</w:t>
            </w:r>
          </w:p>
        </w:tc>
        <w:tc>
          <w:tcPr>
            <w:tcW w:type="dxa" w:w="1872"/>
            <w:shd w:val="clear" w:color="auto" w:fill="1F4E79"/>
          </w:tcPr>
          <w:p>
            <w:pPr>
              <w:spacing w:after="0"/>
              <w:jc w:val="center"/>
            </w:pPr>
            <w:r/>
            <w:r>
              <w:rPr>
                <w:b/>
                <w:color w:val="FFFFFF"/>
                <w:sz w:val="19"/>
              </w:rPr>
              <w:t>95% CI</w:t>
            </w:r>
          </w:p>
        </w:tc>
        <w:tc>
          <w:tcPr>
            <w:tcW w:type="dxa" w:w="1152"/>
            <w:shd w:val="clear" w:color="auto" w:fill="1F4E79"/>
          </w:tcPr>
          <w:p>
            <w:pPr>
              <w:spacing w:after="0"/>
              <w:jc w:val="center"/>
            </w:pPr>
            <w:r/>
            <w:r>
              <w:rPr>
                <w:b/>
                <w:color w:val="FFFFFF"/>
                <w:sz w:val="19"/>
              </w:rPr>
              <w:t>Std. beta</w:t>
            </w:r>
          </w:p>
        </w:tc>
      </w:tr>
      <w:tr>
        <w:tc>
          <w:tcPr>
            <w:tcW w:type="dxa" w:w="3168"/>
          </w:tcPr>
          <w:p>
            <w:pPr>
              <w:spacing w:after="0"/>
            </w:pPr>
            <w:r/>
            <w:r>
              <w:rPr>
                <w:sz w:val="19"/>
              </w:rPr>
              <w:t>Intercept</w:t>
            </w:r>
          </w:p>
        </w:tc>
        <w:tc>
          <w:tcPr>
            <w:tcW w:type="dxa" w:w="2016"/>
          </w:tcPr>
          <w:p>
            <w:pPr>
              <w:spacing w:after="0"/>
              <w:jc w:val="center"/>
            </w:pPr>
            <w:r/>
            <w:r>
              <w:rPr>
                <w:sz w:val="19"/>
              </w:rPr>
              <w:t>276.58***</w:t>
            </w:r>
          </w:p>
        </w:tc>
        <w:tc>
          <w:tcPr>
            <w:tcW w:type="dxa" w:w="1152"/>
          </w:tcPr>
          <w:p>
            <w:pPr>
              <w:spacing w:after="0"/>
              <w:jc w:val="center"/>
            </w:pPr>
            <w:r/>
            <w:r>
              <w:rPr>
                <w:sz w:val="19"/>
              </w:rPr>
              <w:t>12.16</w:t>
            </w:r>
          </w:p>
        </w:tc>
        <w:tc>
          <w:tcPr>
            <w:tcW w:type="dxa" w:w="1152"/>
          </w:tcPr>
          <w:p>
            <w:pPr>
              <w:spacing w:after="0"/>
              <w:jc w:val="center"/>
            </w:pPr>
            <w:r/>
            <w:r>
              <w:rPr>
                <w:sz w:val="19"/>
              </w:rPr>
              <w:t>&lt;0.001</w:t>
            </w:r>
          </w:p>
        </w:tc>
        <w:tc>
          <w:tcPr>
            <w:tcW w:type="dxa" w:w="1872"/>
          </w:tcPr>
          <w:p>
            <w:pPr>
              <w:spacing w:after="0"/>
              <w:jc w:val="center"/>
            </w:pPr>
            <w:r/>
            <w:r>
              <w:rPr>
                <w:sz w:val="19"/>
              </w:rPr>
              <w:t>252.7 to 300.4</w:t>
            </w:r>
          </w:p>
        </w:tc>
        <w:tc>
          <w:tcPr>
            <w:tcW w:type="dxa" w:w="1152"/>
          </w:tcPr>
          <w:p>
            <w:pPr>
              <w:spacing w:after="0"/>
              <w:jc w:val="center"/>
            </w:pPr>
            <w:r/>
            <w:r>
              <w:rPr>
                <w:sz w:val="19"/>
              </w:rPr>
              <w:t>-</w:t>
            </w:r>
          </w:p>
        </w:tc>
      </w:tr>
      <w:tr>
        <w:tc>
          <w:tcPr>
            <w:tcW w:type="dxa" w:w="3168"/>
            <w:shd w:val="clear" w:color="auto" w:fill="EAF0F7"/>
          </w:tcPr>
          <w:p>
            <w:pPr>
              <w:spacing w:after="0"/>
            </w:pPr>
            <w:r/>
            <w:r>
              <w:rPr>
                <w:sz w:val="19"/>
              </w:rPr>
              <w:t>Endcap × Rep (1 only if both)</w:t>
            </w:r>
          </w:p>
        </w:tc>
        <w:tc>
          <w:tcPr>
            <w:tcW w:type="dxa" w:w="2016"/>
            <w:shd w:val="clear" w:color="auto" w:fill="EAF0F7"/>
          </w:tcPr>
          <w:p>
            <w:pPr>
              <w:spacing w:after="0"/>
              <w:jc w:val="center"/>
            </w:pPr>
            <w:r/>
            <w:r>
              <w:rPr>
                <w:sz w:val="19"/>
              </w:rPr>
              <w:t>454.42***</w:t>
            </w:r>
          </w:p>
        </w:tc>
        <w:tc>
          <w:tcPr>
            <w:tcW w:type="dxa" w:w="1152"/>
            <w:shd w:val="clear" w:color="auto" w:fill="EAF0F7"/>
          </w:tcPr>
          <w:p>
            <w:pPr>
              <w:spacing w:after="0"/>
              <w:jc w:val="center"/>
            </w:pPr>
            <w:r/>
            <w:r>
              <w:rPr>
                <w:sz w:val="19"/>
              </w:rPr>
              <w:t>8.47</w:t>
            </w:r>
          </w:p>
        </w:tc>
        <w:tc>
          <w:tcPr>
            <w:tcW w:type="dxa" w:w="1152"/>
            <w:shd w:val="clear" w:color="auto" w:fill="EAF0F7"/>
          </w:tcPr>
          <w:p>
            <w:pPr>
              <w:spacing w:after="0"/>
              <w:jc w:val="center"/>
            </w:pPr>
            <w:r/>
            <w:r>
              <w:rPr>
                <w:sz w:val="19"/>
              </w:rPr>
              <w:t>&lt;0.001</w:t>
            </w:r>
          </w:p>
        </w:tc>
        <w:tc>
          <w:tcPr>
            <w:tcW w:type="dxa" w:w="1872"/>
            <w:shd w:val="clear" w:color="auto" w:fill="EAF0F7"/>
          </w:tcPr>
          <w:p>
            <w:pPr>
              <w:spacing w:after="0"/>
              <w:jc w:val="center"/>
            </w:pPr>
            <w:r/>
            <w:r>
              <w:rPr>
                <w:sz w:val="19"/>
              </w:rPr>
              <w:t>437.8 to 471.0</w:t>
            </w:r>
          </w:p>
        </w:tc>
        <w:tc>
          <w:tcPr>
            <w:tcW w:type="dxa" w:w="1152"/>
            <w:shd w:val="clear" w:color="auto" w:fill="EAF0F7"/>
          </w:tcPr>
          <w:p>
            <w:pPr>
              <w:spacing w:after="0"/>
              <w:jc w:val="center"/>
            </w:pPr>
            <w:r/>
            <w:r>
              <w:rPr>
                <w:sz w:val="19"/>
              </w:rPr>
              <w:t>0.65</w:t>
            </w:r>
          </w:p>
        </w:tc>
      </w:tr>
      <w:tr>
        <w:tc>
          <w:tcPr>
            <w:tcW w:type="dxa" w:w="3168"/>
          </w:tcPr>
          <w:p>
            <w:pPr>
              <w:spacing w:after="0"/>
            </w:pPr>
            <w:r/>
            <w:r>
              <w:rPr>
                <w:sz w:val="19"/>
              </w:rPr>
              <w:t>Regional sales rep (1/0)</w:t>
            </w:r>
          </w:p>
        </w:tc>
        <w:tc>
          <w:tcPr>
            <w:tcW w:type="dxa" w:w="2016"/>
          </w:tcPr>
          <w:p>
            <w:pPr>
              <w:spacing w:after="0"/>
              <w:jc w:val="center"/>
            </w:pPr>
            <w:r/>
            <w:r>
              <w:rPr>
                <w:sz w:val="19"/>
              </w:rPr>
              <w:t>59.44***</w:t>
            </w:r>
          </w:p>
        </w:tc>
        <w:tc>
          <w:tcPr>
            <w:tcW w:type="dxa" w:w="1152"/>
          </w:tcPr>
          <w:p>
            <w:pPr>
              <w:spacing w:after="0"/>
              <w:jc w:val="center"/>
            </w:pPr>
            <w:r/>
            <w:r>
              <w:rPr>
                <w:sz w:val="19"/>
              </w:rPr>
              <w:t>2.99</w:t>
            </w:r>
          </w:p>
        </w:tc>
        <w:tc>
          <w:tcPr>
            <w:tcW w:type="dxa" w:w="1152"/>
          </w:tcPr>
          <w:p>
            <w:pPr>
              <w:spacing w:after="0"/>
              <w:jc w:val="center"/>
            </w:pPr>
            <w:r/>
            <w:r>
              <w:rPr>
                <w:sz w:val="19"/>
              </w:rPr>
              <w:t>&lt;0.001</w:t>
            </w:r>
          </w:p>
        </w:tc>
        <w:tc>
          <w:tcPr>
            <w:tcW w:type="dxa" w:w="1872"/>
          </w:tcPr>
          <w:p>
            <w:pPr>
              <w:spacing w:after="0"/>
              <w:jc w:val="center"/>
            </w:pPr>
            <w:r/>
            <w:r>
              <w:rPr>
                <w:sz w:val="19"/>
              </w:rPr>
              <w:t>53.6 to 65.3</w:t>
            </w:r>
          </w:p>
        </w:tc>
        <w:tc>
          <w:tcPr>
            <w:tcW w:type="dxa" w:w="1152"/>
          </w:tcPr>
          <w:p>
            <w:pPr>
              <w:spacing w:after="0"/>
              <w:jc w:val="center"/>
            </w:pPr>
            <w:r/>
            <w:r>
              <w:rPr>
                <w:sz w:val="19"/>
              </w:rPr>
              <w:t>0.27</w:t>
            </w:r>
          </w:p>
        </w:tc>
      </w:tr>
      <w:tr>
        <w:tc>
          <w:tcPr>
            <w:tcW w:type="dxa" w:w="3168"/>
            <w:shd w:val="clear" w:color="auto" w:fill="EAF0F7"/>
          </w:tcPr>
          <w:p>
            <w:pPr>
              <w:spacing w:after="0"/>
            </w:pPr>
            <w:r/>
            <w:r>
              <w:rPr>
                <w:sz w:val="19"/>
              </w:rPr>
              <w:t>Demo this week (1/0)</w:t>
            </w:r>
          </w:p>
        </w:tc>
        <w:tc>
          <w:tcPr>
            <w:tcW w:type="dxa" w:w="2016"/>
            <w:shd w:val="clear" w:color="auto" w:fill="EAF0F7"/>
          </w:tcPr>
          <w:p>
            <w:pPr>
              <w:spacing w:after="0"/>
              <w:jc w:val="center"/>
            </w:pPr>
            <w:r/>
            <w:r>
              <w:rPr>
                <w:sz w:val="19"/>
              </w:rPr>
              <w:t>106.76***</w:t>
            </w:r>
          </w:p>
        </w:tc>
        <w:tc>
          <w:tcPr>
            <w:tcW w:type="dxa" w:w="1152"/>
            <w:shd w:val="clear" w:color="auto" w:fill="EAF0F7"/>
          </w:tcPr>
          <w:p>
            <w:pPr>
              <w:spacing w:after="0"/>
              <w:jc w:val="center"/>
            </w:pPr>
            <w:r/>
            <w:r>
              <w:rPr>
                <w:sz w:val="19"/>
              </w:rPr>
              <w:t>5.70</w:t>
            </w:r>
          </w:p>
        </w:tc>
        <w:tc>
          <w:tcPr>
            <w:tcW w:type="dxa" w:w="1152"/>
            <w:shd w:val="clear" w:color="auto" w:fill="EAF0F7"/>
          </w:tcPr>
          <w:p>
            <w:pPr>
              <w:spacing w:after="0"/>
              <w:jc w:val="center"/>
            </w:pPr>
            <w:r/>
            <w:r>
              <w:rPr>
                <w:sz w:val="19"/>
              </w:rPr>
              <w:t>&lt;0.001</w:t>
            </w:r>
          </w:p>
        </w:tc>
        <w:tc>
          <w:tcPr>
            <w:tcW w:type="dxa" w:w="1872"/>
            <w:shd w:val="clear" w:color="auto" w:fill="EAF0F7"/>
          </w:tcPr>
          <w:p>
            <w:pPr>
              <w:spacing w:after="0"/>
              <w:jc w:val="center"/>
            </w:pPr>
            <w:r/>
            <w:r>
              <w:rPr>
                <w:sz w:val="19"/>
              </w:rPr>
              <w:t>95.6 to 117.9</w:t>
            </w:r>
          </w:p>
        </w:tc>
        <w:tc>
          <w:tcPr>
            <w:tcW w:type="dxa" w:w="1152"/>
            <w:shd w:val="clear" w:color="auto" w:fill="EAF0F7"/>
          </w:tcPr>
          <w:p>
            <w:pPr>
              <w:spacing w:after="0"/>
              <w:jc w:val="center"/>
            </w:pPr>
            <w:r/>
            <w:r>
              <w:rPr>
                <w:sz w:val="19"/>
              </w:rPr>
              <w:t>0.23</w:t>
            </w:r>
          </w:p>
        </w:tc>
      </w:tr>
      <w:tr>
        <w:tc>
          <w:tcPr>
            <w:tcW w:type="dxa" w:w="3168"/>
          </w:tcPr>
          <w:p>
            <w:pPr>
              <w:spacing w:after="0"/>
            </w:pPr>
            <w:r/>
            <w:r>
              <w:rPr>
                <w:sz w:val="19"/>
              </w:rPr>
              <w:t>Demo 1-3 weeks ago (1/0)</w:t>
            </w:r>
          </w:p>
        </w:tc>
        <w:tc>
          <w:tcPr>
            <w:tcW w:type="dxa" w:w="2016"/>
          </w:tcPr>
          <w:p>
            <w:pPr>
              <w:spacing w:after="0"/>
              <w:jc w:val="center"/>
            </w:pPr>
            <w:r/>
            <w:r>
              <w:rPr>
                <w:sz w:val="19"/>
              </w:rPr>
              <w:t>73.38***</w:t>
            </w:r>
          </w:p>
        </w:tc>
        <w:tc>
          <w:tcPr>
            <w:tcW w:type="dxa" w:w="1152"/>
          </w:tcPr>
          <w:p>
            <w:pPr>
              <w:spacing w:after="0"/>
              <w:jc w:val="center"/>
            </w:pPr>
            <w:r/>
            <w:r>
              <w:rPr>
                <w:sz w:val="19"/>
              </w:rPr>
              <w:t>3.76</w:t>
            </w:r>
          </w:p>
        </w:tc>
        <w:tc>
          <w:tcPr>
            <w:tcW w:type="dxa" w:w="1152"/>
          </w:tcPr>
          <w:p>
            <w:pPr>
              <w:spacing w:after="0"/>
              <w:jc w:val="center"/>
            </w:pPr>
            <w:r/>
            <w:r>
              <w:rPr>
                <w:sz w:val="19"/>
              </w:rPr>
              <w:t>&lt;0.001</w:t>
            </w:r>
          </w:p>
        </w:tc>
        <w:tc>
          <w:tcPr>
            <w:tcW w:type="dxa" w:w="1872"/>
          </w:tcPr>
          <w:p>
            <w:pPr>
              <w:spacing w:after="0"/>
              <w:jc w:val="center"/>
            </w:pPr>
            <w:r/>
            <w:r>
              <w:rPr>
                <w:sz w:val="19"/>
              </w:rPr>
              <w:t>66.0 to 80.8</w:t>
            </w:r>
          </w:p>
        </w:tc>
        <w:tc>
          <w:tcPr>
            <w:tcW w:type="dxa" w:w="1152"/>
          </w:tcPr>
          <w:p>
            <w:pPr>
              <w:spacing w:after="0"/>
              <w:jc w:val="center"/>
            </w:pPr>
            <w:r/>
            <w:r>
              <w:rPr>
                <w:sz w:val="19"/>
              </w:rPr>
              <w:t>0.24</w:t>
            </w:r>
          </w:p>
        </w:tc>
      </w:tr>
      <w:tr>
        <w:tc>
          <w:tcPr>
            <w:tcW w:type="dxa" w:w="3168"/>
            <w:shd w:val="clear" w:color="auto" w:fill="EAF0F7"/>
          </w:tcPr>
          <w:p>
            <w:pPr>
              <w:spacing w:after="0"/>
            </w:pPr>
            <w:r/>
            <w:r>
              <w:rPr>
                <w:sz w:val="19"/>
              </w:rPr>
              <w:t>Demo 4-5+ weeks ago (1/0)</w:t>
            </w:r>
          </w:p>
        </w:tc>
        <w:tc>
          <w:tcPr>
            <w:tcW w:type="dxa" w:w="2016"/>
            <w:shd w:val="clear" w:color="auto" w:fill="EAF0F7"/>
          </w:tcPr>
          <w:p>
            <w:pPr>
              <w:spacing w:after="0"/>
              <w:jc w:val="center"/>
            </w:pPr>
            <w:r/>
            <w:r>
              <w:rPr>
                <w:sz w:val="19"/>
              </w:rPr>
              <w:t>74.56***</w:t>
            </w:r>
          </w:p>
        </w:tc>
        <w:tc>
          <w:tcPr>
            <w:tcW w:type="dxa" w:w="1152"/>
            <w:shd w:val="clear" w:color="auto" w:fill="EAF0F7"/>
          </w:tcPr>
          <w:p>
            <w:pPr>
              <w:spacing w:after="0"/>
              <w:jc w:val="center"/>
            </w:pPr>
            <w:r/>
            <w:r>
              <w:rPr>
                <w:sz w:val="19"/>
              </w:rPr>
              <w:t>5.03</w:t>
            </w:r>
          </w:p>
        </w:tc>
        <w:tc>
          <w:tcPr>
            <w:tcW w:type="dxa" w:w="1152"/>
            <w:shd w:val="clear" w:color="auto" w:fill="EAF0F7"/>
          </w:tcPr>
          <w:p>
            <w:pPr>
              <w:spacing w:after="0"/>
              <w:jc w:val="center"/>
            </w:pPr>
            <w:r/>
            <w:r>
              <w:rPr>
                <w:sz w:val="19"/>
              </w:rPr>
              <w:t>&lt;0.001</w:t>
            </w:r>
          </w:p>
        </w:tc>
        <w:tc>
          <w:tcPr>
            <w:tcW w:type="dxa" w:w="1872"/>
            <w:shd w:val="clear" w:color="auto" w:fill="EAF0F7"/>
          </w:tcPr>
          <w:p>
            <w:pPr>
              <w:spacing w:after="0"/>
              <w:jc w:val="center"/>
            </w:pPr>
            <w:r/>
            <w:r>
              <w:rPr>
                <w:sz w:val="19"/>
              </w:rPr>
              <w:t>64.7 to 84.4</w:t>
            </w:r>
          </w:p>
        </w:tc>
        <w:tc>
          <w:tcPr>
            <w:tcW w:type="dxa" w:w="1152"/>
            <w:shd w:val="clear" w:color="auto" w:fill="EAF0F7"/>
          </w:tcPr>
          <w:p>
            <w:pPr>
              <w:spacing w:after="0"/>
              <w:jc w:val="center"/>
            </w:pPr>
            <w:r/>
            <w:r>
              <w:rPr>
                <w:sz w:val="19"/>
              </w:rPr>
              <w:t>0.18</w:t>
            </w:r>
          </w:p>
        </w:tc>
      </w:tr>
      <w:tr>
        <w:tc>
          <w:tcPr>
            <w:tcW w:type="dxa" w:w="3168"/>
          </w:tcPr>
          <w:p>
            <w:pPr>
              <w:spacing w:after="0"/>
            </w:pPr>
            <w:r/>
            <w:r>
              <w:rPr>
                <w:sz w:val="19"/>
              </w:rPr>
              <w:t>Average retail price ($)</w:t>
            </w:r>
          </w:p>
        </w:tc>
        <w:tc>
          <w:tcPr>
            <w:tcW w:type="dxa" w:w="2016"/>
          </w:tcPr>
          <w:p>
            <w:pPr>
              <w:spacing w:after="0"/>
              <w:jc w:val="center"/>
            </w:pPr>
            <w:r/>
            <w:r>
              <w:rPr>
                <w:sz w:val="19"/>
              </w:rPr>
              <w:t>-22.06***</w:t>
            </w:r>
          </w:p>
        </w:tc>
        <w:tc>
          <w:tcPr>
            <w:tcW w:type="dxa" w:w="1152"/>
          </w:tcPr>
          <w:p>
            <w:pPr>
              <w:spacing w:after="0"/>
              <w:jc w:val="center"/>
            </w:pPr>
            <w:r/>
            <w:r>
              <w:rPr>
                <w:sz w:val="19"/>
              </w:rPr>
              <w:t>3.04</w:t>
            </w:r>
          </w:p>
        </w:tc>
        <w:tc>
          <w:tcPr>
            <w:tcW w:type="dxa" w:w="1152"/>
          </w:tcPr>
          <w:p>
            <w:pPr>
              <w:spacing w:after="0"/>
              <w:jc w:val="center"/>
            </w:pPr>
            <w:r/>
            <w:r>
              <w:rPr>
                <w:sz w:val="19"/>
              </w:rPr>
              <w:t>&lt;0.001</w:t>
            </w:r>
          </w:p>
        </w:tc>
        <w:tc>
          <w:tcPr>
            <w:tcW w:type="dxa" w:w="1872"/>
          </w:tcPr>
          <w:p>
            <w:pPr>
              <w:spacing w:after="0"/>
              <w:jc w:val="center"/>
            </w:pPr>
            <w:r/>
            <w:r>
              <w:rPr>
                <w:sz w:val="19"/>
              </w:rPr>
              <w:t>-28.0 to -16.1</w:t>
            </w:r>
          </w:p>
        </w:tc>
        <w:tc>
          <w:tcPr>
            <w:tcW w:type="dxa" w:w="1152"/>
          </w:tcPr>
          <w:p>
            <w:pPr>
              <w:spacing w:after="0"/>
              <w:jc w:val="center"/>
            </w:pPr>
            <w:r/>
            <w:r>
              <w:rPr>
                <w:sz w:val="19"/>
              </w:rPr>
              <w:t>-0.09</w:t>
            </w:r>
          </w:p>
        </w:tc>
      </w:tr>
      <w:tr>
        <w:tc>
          <w:tcPr>
            <w:tcW w:type="dxa" w:w="3168"/>
            <w:shd w:val="clear" w:color="auto" w:fill="EAF0F7"/>
          </w:tcPr>
          <w:p>
            <w:pPr>
              <w:spacing w:after="0"/>
            </w:pPr>
            <w:r/>
            <w:r>
              <w:rPr>
                <w:sz w:val="19"/>
              </w:rPr>
              <w:t>R² / adj. R² / F</w:t>
            </w:r>
          </w:p>
        </w:tc>
        <w:tc>
          <w:tcPr>
            <w:tcW w:type="dxa" w:w="2016"/>
            <w:shd w:val="clear" w:color="auto" w:fill="EAF0F7"/>
          </w:tcPr>
          <w:p>
            <w:pPr>
              <w:spacing w:after="0"/>
              <w:jc w:val="center"/>
            </w:pPr>
            <w:r/>
            <w:r>
              <w:rPr>
                <w:sz w:val="19"/>
              </w:rPr>
              <w:t>0.806 / 0.805 / 954.0</w:t>
            </w:r>
          </w:p>
        </w:tc>
        <w:tc>
          <w:tcPr>
            <w:tcW w:type="dxa" w:w="1152"/>
            <w:shd w:val="clear" w:color="auto" w:fill="EAF0F7"/>
          </w:tcPr>
          <w:p>
            <w:pPr>
              <w:spacing w:after="0"/>
              <w:jc w:val="center"/>
            </w:pPr>
            <w:r/>
            <w:r>
              <w:rPr>
                <w:sz w:val="19"/>
              </w:rPr>
            </w:r>
          </w:p>
        </w:tc>
        <w:tc>
          <w:tcPr>
            <w:tcW w:type="dxa" w:w="1152"/>
            <w:shd w:val="clear" w:color="auto" w:fill="EAF0F7"/>
          </w:tcPr>
          <w:p>
            <w:pPr>
              <w:spacing w:after="0"/>
              <w:jc w:val="center"/>
            </w:pPr>
            <w:r/>
            <w:r>
              <w:rPr>
                <w:sz w:val="19"/>
              </w:rPr>
              <w:t>&lt;0.001</w:t>
            </w:r>
          </w:p>
        </w:tc>
        <w:tc>
          <w:tcPr>
            <w:tcW w:type="dxa" w:w="1872"/>
            <w:shd w:val="clear" w:color="auto" w:fill="EAF0F7"/>
          </w:tcPr>
          <w:p>
            <w:pPr>
              <w:spacing w:after="0"/>
              <w:jc w:val="center"/>
            </w:pPr>
            <w:r/>
            <w:r>
              <w:rPr>
                <w:sz w:val="19"/>
              </w:rPr>
            </w:r>
          </w:p>
        </w:tc>
        <w:tc>
          <w:tcPr>
            <w:tcW w:type="dxa" w:w="1152"/>
            <w:shd w:val="clear" w:color="auto" w:fill="EAF0F7"/>
          </w:tcPr>
          <w:p>
            <w:pPr>
              <w:spacing w:after="0"/>
              <w:jc w:val="center"/>
            </w:pPr>
            <w:r/>
            <w:r>
              <w:rPr>
                <w:sz w:val="19"/>
              </w:rPr>
            </w:r>
          </w:p>
        </w:tc>
      </w:tr>
    </w:tbl>
    <w:p>
      <w:pPr>
        <w:spacing w:after="40"/>
      </w:pPr>
    </w:p>
    <w:p>
      <w:r>
        <w:rPr>
          <w:b w:val="0"/>
          <w:i w:val="0"/>
        </w:rPr>
      </w:r>
      <w:r>
        <w:rPr>
          <w:b/>
          <w:i w:val="0"/>
        </w:rPr>
        <w:t>Model 2:</w:t>
      </w:r>
      <w:r>
        <w:rPr>
          <w:b w:val="0"/>
          <w:i w:val="0"/>
        </w:rPr>
        <w:t xml:space="preserve"> Units = 276.6 + 454.4·(Endcap × Rep) + 59.4·Rep + 106.8·Demo + 73.4·Demo1-3 + 74.6·Demo4-5 − 22.1·Price.</w:t>
      </w:r>
    </w:p>
    <w:p>
      <w:r>
        <w:rPr>
          <w:b w:val="0"/>
          <w:i w:val="0"/>
        </w:rPr>
      </w:r>
      <w:r>
        <w:rPr>
          <w:b/>
          <w:i w:val="0"/>
        </w:rPr>
        <w:t>Observations.</w:t>
      </w:r>
      <w:r>
        <w:rPr>
          <w:b w:val="0"/>
          <w:i w:val="0"/>
        </w:rPr>
      </w:r>
    </w:p>
    <w:p>
      <w:pPr>
        <w:pStyle w:val="ListBullet"/>
        <w:spacing w:after="40"/>
      </w:pPr>
      <w:r>
        <w:rPr>
          <w:b w:val="0"/>
        </w:rPr>
      </w:r>
      <w:r>
        <w:rPr>
          <w:b/>
        </w:rPr>
        <w:t>Endcap × Rep = 454:</w:t>
      </w:r>
      <w:r>
        <w:rPr>
          <w:b w:val="0"/>
        </w:rPr>
        <w:t xml:space="preserve"> the endcap adds about 454 units a week, but only in stores that also have a regional rep. It has the largest standardised beta (0.65).</w:t>
      </w:r>
    </w:p>
    <w:p>
      <w:pPr>
        <w:pStyle w:val="ListBullet"/>
        <w:spacing w:after="40"/>
      </w:pPr>
      <w:r>
        <w:rPr>
          <w:b w:val="0"/>
        </w:rPr>
      </w:r>
      <w:r>
        <w:rPr>
          <w:b/>
        </w:rPr>
        <w:t>Rep = 59:</w:t>
      </w:r>
      <w:r>
        <w:rPr>
          <w:b w:val="0"/>
        </w:rPr>
        <w:t xml:space="preserve"> a regional rep adds about 59 units a week on its own. In an endcap store with a rep the combined gain is about 514 units.</w:t>
      </w:r>
    </w:p>
    <w:p>
      <w:pPr>
        <w:pStyle w:val="ListBullet"/>
        <w:spacing w:after="40"/>
      </w:pPr>
      <w:r>
        <w:rPr>
          <w:b w:val="0"/>
        </w:rPr>
      </w:r>
      <w:r>
        <w:rPr>
          <w:b/>
        </w:rPr>
        <w:t>Demo stages:</w:t>
      </w:r>
      <w:r>
        <w:rPr>
          <w:b w:val="0"/>
        </w:rPr>
        <w:t xml:space="preserve"> about +107 units in the demo week and about +73 and +75 afterwards. </w:t>
      </w:r>
      <w:r>
        <w:rPr>
          <w:b/>
        </w:rPr>
        <w:t>Price:</w:t>
      </w:r>
      <w:r>
        <w:rPr>
          <w:b w:val="0"/>
        </w:rPr>
        <w:t xml:space="preserve"> each extra $1 removes about 22 units; at the mean this is an elasticity of -0.36, so a 10% price cut raises units only about 3.6%.</w:t>
      </w:r>
    </w:p>
    <w:p>
      <w:pPr>
        <w:pStyle w:val="ListBullet"/>
        <w:spacing w:after="40"/>
      </w:pPr>
      <w:r>
        <w:rPr>
          <w:b w:val="0"/>
        </w:rPr>
      </w:r>
      <w:r>
        <w:rPr>
          <w:b/>
        </w:rPr>
        <w:t>Natural retailers and fitness centres</w:t>
      </w:r>
      <w:r>
        <w:rPr>
          <w:b w:val="0"/>
        </w:rPr>
        <w:t xml:space="preserve"> are not selected: nearby competition or health-conscious traffic does not explain sales once promotions are controlled.</w:t>
      </w:r>
    </w:p>
    <w:p>
      <w:pPr>
        <w:keepNext/>
        <w:jc w:val="center"/>
      </w:pPr>
      <w:r>
        <w:drawing>
          <wp:inline xmlns:a="http://schemas.openxmlformats.org/drawingml/2006/main" xmlns:pic="http://schemas.openxmlformats.org/drawingml/2006/picture">
            <wp:extent cx="4206240" cy="2253343"/>
            <wp:docPr id="2" name="Picture 2"/>
            <wp:cNvGraphicFramePr>
              <a:graphicFrameLocks noChangeAspect="1"/>
            </wp:cNvGraphicFramePr>
            <a:graphic>
              <a:graphicData uri="http://schemas.openxmlformats.org/drawingml/2006/picture">
                <pic:pic>
                  <pic:nvPicPr>
                    <pic:cNvPr id="0" name="coef.png"/>
                    <pic:cNvPicPr/>
                  </pic:nvPicPr>
                  <pic:blipFill>
                    <a:blip r:embed="rId10"/>
                    <a:stretch>
                      <a:fillRect/>
                    </a:stretch>
                  </pic:blipFill>
                  <pic:spPr>
                    <a:xfrm>
                      <a:off x="0" y="0"/>
                      <a:ext cx="4206240" cy="2253343"/>
                    </a:xfrm>
                    <a:prstGeom prst="rect"/>
                  </pic:spPr>
                </pic:pic>
              </a:graphicData>
            </a:graphic>
          </wp:inline>
        </w:drawing>
      </w:r>
    </w:p>
    <w:p>
      <w:pPr>
        <w:jc w:val="center"/>
      </w:pPr>
      <w:r>
        <w:rPr>
          <w:b w:val="0"/>
          <w:i/>
          <w:sz w:val="19"/>
        </w:rPr>
        <w:t>Figure 2. Effect of each lever in extra units per store-week, with 95% confidence intervals (Model 2).</w:t>
      </w:r>
    </w:p>
    <w:p>
      <w:pPr>
        <w:pStyle w:val="Heading1"/>
      </w:pPr>
      <w:r>
        <w:t>3. Question 2: Do the Regression Assumptions Hold?</w:t>
      </w:r>
    </w:p>
    <w:p>
      <w:r>
        <w:rPr>
          <w:b w:val="0"/>
          <w:i w:val="0"/>
        </w:rPr>
        <w:t>We checked each assumption of linear regression on Model 1 and on the stepwise Model 2, using residual plots, P-P/Q-Q plots, the Durbin-Watson statistic, VIFs and outlier measures.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val="clear" w:color="auto" w:fill="1F4E79"/>
          </w:tcPr>
          <w:p>
            <w:pPr>
              <w:spacing w:after="0"/>
            </w:pPr>
            <w:r/>
            <w:r>
              <w:rPr>
                <w:b/>
                <w:color w:val="FFFFFF"/>
                <w:sz w:val="17"/>
              </w:rPr>
              <w:t>Assumption</w:t>
            </w:r>
          </w:p>
        </w:tc>
        <w:tc>
          <w:tcPr>
            <w:tcW w:type="dxa" w:w="1872"/>
            <w:shd w:val="clear" w:color="auto" w:fill="1F4E79"/>
          </w:tcPr>
          <w:p>
            <w:pPr>
              <w:spacing w:after="0"/>
              <w:jc w:val="center"/>
            </w:pPr>
            <w:r/>
            <w:r>
              <w:rPr>
                <w:b/>
                <w:color w:val="FFFFFF"/>
                <w:sz w:val="17"/>
              </w:rPr>
              <w:t>Check</w:t>
            </w:r>
          </w:p>
        </w:tc>
        <w:tc>
          <w:tcPr>
            <w:tcW w:type="dxa" w:w="2304"/>
            <w:shd w:val="clear" w:color="auto" w:fill="1F4E79"/>
          </w:tcPr>
          <w:p>
            <w:pPr>
              <w:spacing w:after="0"/>
              <w:jc w:val="center"/>
            </w:pPr>
            <w:r/>
            <w:r>
              <w:rPr>
                <w:b/>
                <w:color w:val="FFFFFF"/>
                <w:sz w:val="17"/>
              </w:rPr>
              <w:t>Model 1 (all variables)</w:t>
            </w:r>
          </w:p>
        </w:tc>
        <w:tc>
          <w:tcPr>
            <w:tcW w:type="dxa" w:w="1872"/>
            <w:shd w:val="clear" w:color="auto" w:fill="1F4E79"/>
          </w:tcPr>
          <w:p>
            <w:pPr>
              <w:spacing w:after="0"/>
              <w:jc w:val="center"/>
            </w:pPr>
            <w:r/>
            <w:r>
              <w:rPr>
                <w:b/>
                <w:color w:val="FFFFFF"/>
                <w:sz w:val="17"/>
              </w:rPr>
              <w:t>Model 2 (stepwise)</w:t>
            </w:r>
          </w:p>
        </w:tc>
        <w:tc>
          <w:tcPr>
            <w:tcW w:type="dxa" w:w="1440"/>
            <w:shd w:val="clear" w:color="auto" w:fill="1F4E79"/>
          </w:tcPr>
          <w:p>
            <w:pPr>
              <w:spacing w:after="0"/>
              <w:jc w:val="center"/>
            </w:pPr>
            <w:r/>
            <w:r>
              <w:rPr>
                <w:b/>
                <w:color w:val="FFFFFF"/>
                <w:sz w:val="17"/>
              </w:rPr>
              <w:t>Verdict</w:t>
            </w:r>
          </w:p>
        </w:tc>
      </w:tr>
      <w:tr>
        <w:tc>
          <w:tcPr>
            <w:tcW w:type="dxa" w:w="2016"/>
          </w:tcPr>
          <w:p>
            <w:pPr>
              <w:spacing w:after="0"/>
            </w:pPr>
            <w:r/>
            <w:r>
              <w:rPr>
                <w:sz w:val="17"/>
              </w:rPr>
              <w:t>Linearity / constant variance</w:t>
            </w:r>
          </w:p>
        </w:tc>
        <w:tc>
          <w:tcPr>
            <w:tcW w:type="dxa" w:w="1872"/>
          </w:tcPr>
          <w:p>
            <w:pPr>
              <w:spacing w:after="0"/>
              <w:jc w:val="center"/>
            </w:pPr>
            <w:r/>
            <w:r>
              <w:rPr>
                <w:sz w:val="17"/>
              </w:rPr>
              <w:t>Residuals vs fitted</w:t>
            </w:r>
          </w:p>
        </w:tc>
        <w:tc>
          <w:tcPr>
            <w:tcW w:type="dxa" w:w="2304"/>
          </w:tcPr>
          <w:p>
            <w:pPr>
              <w:spacing w:after="0"/>
              <w:jc w:val="center"/>
            </w:pPr>
            <w:r/>
            <w:r>
              <w:rPr>
                <w:sz w:val="17"/>
              </w:rPr>
              <w:t>Uneven; block of large negative residuals at high fitted values</w:t>
            </w:r>
          </w:p>
        </w:tc>
        <w:tc>
          <w:tcPr>
            <w:tcW w:type="dxa" w:w="1872"/>
          </w:tcPr>
          <w:p>
            <w:pPr>
              <w:spacing w:after="0"/>
              <w:jc w:val="center"/>
            </w:pPr>
            <w:r/>
            <w:r>
              <w:rPr>
                <w:sz w:val="17"/>
              </w:rPr>
              <w:t>Centred on zero, even spread</w:t>
            </w:r>
          </w:p>
        </w:tc>
        <w:tc>
          <w:tcPr>
            <w:tcW w:type="dxa" w:w="1440"/>
          </w:tcPr>
          <w:p>
            <w:pPr>
              <w:spacing w:after="0"/>
              <w:jc w:val="center"/>
            </w:pPr>
            <w:r/>
            <w:r>
              <w:rPr>
                <w:sz w:val="17"/>
              </w:rPr>
              <w:t>M2 satisfactory</w:t>
            </w:r>
          </w:p>
        </w:tc>
      </w:tr>
      <w:tr>
        <w:tc>
          <w:tcPr>
            <w:tcW w:type="dxa" w:w="2016"/>
            <w:shd w:val="clear" w:color="auto" w:fill="EAF0F7"/>
          </w:tcPr>
          <w:p>
            <w:pPr>
              <w:spacing w:after="0"/>
            </w:pPr>
            <w:r/>
            <w:r>
              <w:rPr>
                <w:sz w:val="17"/>
              </w:rPr>
              <w:t>Independence</w:t>
            </w:r>
          </w:p>
        </w:tc>
        <w:tc>
          <w:tcPr>
            <w:tcW w:type="dxa" w:w="1872"/>
            <w:shd w:val="clear" w:color="auto" w:fill="EAF0F7"/>
          </w:tcPr>
          <w:p>
            <w:pPr>
              <w:spacing w:after="0"/>
              <w:jc w:val="center"/>
            </w:pPr>
            <w:r/>
            <w:r>
              <w:rPr>
                <w:sz w:val="17"/>
              </w:rPr>
              <w:t>Durbin-Watson</w:t>
            </w:r>
          </w:p>
        </w:tc>
        <w:tc>
          <w:tcPr>
            <w:tcW w:type="dxa" w:w="2304"/>
            <w:shd w:val="clear" w:color="auto" w:fill="EAF0F7"/>
          </w:tcPr>
          <w:p>
            <w:pPr>
              <w:spacing w:after="0"/>
              <w:jc w:val="center"/>
            </w:pPr>
            <w:r/>
            <w:r>
              <w:rPr>
                <w:sz w:val="17"/>
              </w:rPr>
              <w:t>1.39</w:t>
            </w:r>
          </w:p>
        </w:tc>
        <w:tc>
          <w:tcPr>
            <w:tcW w:type="dxa" w:w="1872"/>
            <w:shd w:val="clear" w:color="auto" w:fill="EAF0F7"/>
          </w:tcPr>
          <w:p>
            <w:pPr>
              <w:spacing w:after="0"/>
              <w:jc w:val="center"/>
            </w:pPr>
            <w:r/>
            <w:r>
              <w:rPr>
                <w:sz w:val="17"/>
              </w:rPr>
              <w:t>2.11</w:t>
            </w:r>
          </w:p>
        </w:tc>
        <w:tc>
          <w:tcPr>
            <w:tcW w:type="dxa" w:w="1440"/>
            <w:shd w:val="clear" w:color="auto" w:fill="EAF0F7"/>
          </w:tcPr>
          <w:p>
            <w:pPr>
              <w:spacing w:after="0"/>
              <w:jc w:val="center"/>
            </w:pPr>
            <w:r/>
            <w:r>
              <w:rPr>
                <w:sz w:val="17"/>
              </w:rPr>
              <w:t>M2 close to 2</w:t>
            </w:r>
          </w:p>
        </w:tc>
      </w:tr>
      <w:tr>
        <w:tc>
          <w:tcPr>
            <w:tcW w:type="dxa" w:w="2016"/>
          </w:tcPr>
          <w:p>
            <w:pPr>
              <w:spacing w:after="0"/>
            </w:pPr>
            <w:r/>
            <w:r>
              <w:rPr>
                <w:sz w:val="17"/>
              </w:rPr>
              <w:t>Normality</w:t>
            </w:r>
          </w:p>
        </w:tc>
        <w:tc>
          <w:tcPr>
            <w:tcW w:type="dxa" w:w="1872"/>
          </w:tcPr>
          <w:p>
            <w:pPr>
              <w:spacing w:after="0"/>
              <w:jc w:val="center"/>
            </w:pPr>
            <w:r/>
            <w:r>
              <w:rPr>
                <w:sz w:val="17"/>
              </w:rPr>
              <w:t>P-P / Q-Q, skew, kurtosis</w:t>
            </w:r>
          </w:p>
        </w:tc>
        <w:tc>
          <w:tcPr>
            <w:tcW w:type="dxa" w:w="2304"/>
          </w:tcPr>
          <w:p>
            <w:pPr>
              <w:spacing w:after="0"/>
              <w:jc w:val="center"/>
            </w:pPr>
            <w:r/>
            <w:r>
              <w:rPr>
                <w:sz w:val="17"/>
              </w:rPr>
              <w:t>skew -0.93, kurt 8.5</w:t>
            </w:r>
          </w:p>
        </w:tc>
        <w:tc>
          <w:tcPr>
            <w:tcW w:type="dxa" w:w="1872"/>
          </w:tcPr>
          <w:p>
            <w:pPr>
              <w:spacing w:after="0"/>
              <w:jc w:val="center"/>
            </w:pPr>
            <w:r/>
            <w:r>
              <w:rPr>
                <w:sz w:val="17"/>
              </w:rPr>
              <w:t>skew -0.01, kurt 3.0</w:t>
            </w:r>
          </w:p>
        </w:tc>
        <w:tc>
          <w:tcPr>
            <w:tcW w:type="dxa" w:w="1440"/>
          </w:tcPr>
          <w:p>
            <w:pPr>
              <w:spacing w:after="0"/>
              <w:jc w:val="center"/>
            </w:pPr>
            <w:r/>
            <w:r>
              <w:rPr>
                <w:sz w:val="17"/>
              </w:rPr>
              <w:t>M2 near-normal</w:t>
            </w:r>
          </w:p>
        </w:tc>
      </w:tr>
      <w:tr>
        <w:tc>
          <w:tcPr>
            <w:tcW w:type="dxa" w:w="2016"/>
            <w:shd w:val="clear" w:color="auto" w:fill="EAF0F7"/>
          </w:tcPr>
          <w:p>
            <w:pPr>
              <w:spacing w:after="0"/>
            </w:pPr>
            <w:r/>
            <w:r>
              <w:rPr>
                <w:sz w:val="17"/>
              </w:rPr>
              <w:t>No multicollinearity</w:t>
            </w:r>
          </w:p>
        </w:tc>
        <w:tc>
          <w:tcPr>
            <w:tcW w:type="dxa" w:w="1872"/>
            <w:shd w:val="clear" w:color="auto" w:fill="EAF0F7"/>
          </w:tcPr>
          <w:p>
            <w:pPr>
              <w:spacing w:after="0"/>
              <w:jc w:val="center"/>
            </w:pPr>
            <w:r/>
            <w:r>
              <w:rPr>
                <w:sz w:val="17"/>
              </w:rPr>
              <w:t>Max VIF</w:t>
            </w:r>
          </w:p>
        </w:tc>
        <w:tc>
          <w:tcPr>
            <w:tcW w:type="dxa" w:w="2304"/>
            <w:shd w:val="clear" w:color="auto" w:fill="EAF0F7"/>
          </w:tcPr>
          <w:p>
            <w:pPr>
              <w:spacing w:after="0"/>
              <w:jc w:val="center"/>
            </w:pPr>
            <w:r/>
            <w:r>
              <w:rPr>
                <w:sz w:val="17"/>
              </w:rPr>
              <w:t>1.26</w:t>
            </w:r>
          </w:p>
        </w:tc>
        <w:tc>
          <w:tcPr>
            <w:tcW w:type="dxa" w:w="1872"/>
            <w:shd w:val="clear" w:color="auto" w:fill="EAF0F7"/>
          </w:tcPr>
          <w:p>
            <w:pPr>
              <w:spacing w:after="0"/>
              <w:jc w:val="center"/>
            </w:pPr>
            <w:r/>
            <w:r>
              <w:rPr>
                <w:sz w:val="17"/>
              </w:rPr>
              <w:t>1.27</w:t>
            </w:r>
          </w:p>
        </w:tc>
        <w:tc>
          <w:tcPr>
            <w:tcW w:type="dxa" w:w="1440"/>
            <w:shd w:val="clear" w:color="auto" w:fill="EAF0F7"/>
          </w:tcPr>
          <w:p>
            <w:pPr>
              <w:spacing w:after="0"/>
              <w:jc w:val="center"/>
            </w:pPr>
            <w:r/>
            <w:r>
              <w:rPr>
                <w:sz w:val="17"/>
              </w:rPr>
              <w:t>No problem</w:t>
            </w:r>
          </w:p>
        </w:tc>
      </w:tr>
      <w:tr>
        <w:tc>
          <w:tcPr>
            <w:tcW w:type="dxa" w:w="2016"/>
          </w:tcPr>
          <w:p>
            <w:pPr>
              <w:spacing w:after="0"/>
            </w:pPr>
            <w:r/>
            <w:r>
              <w:rPr>
                <w:sz w:val="17"/>
              </w:rPr>
              <w:t>Outliers / influence</w:t>
            </w:r>
          </w:p>
        </w:tc>
        <w:tc>
          <w:tcPr>
            <w:tcW w:type="dxa" w:w="1872"/>
          </w:tcPr>
          <w:p>
            <w:pPr>
              <w:spacing w:after="0"/>
              <w:jc w:val="center"/>
            </w:pPr>
            <w:r/>
            <w:r>
              <w:rPr>
                <w:sz w:val="17"/>
              </w:rPr>
              <w:t>|Std. residual| &gt; 3; Cook's D</w:t>
            </w:r>
          </w:p>
        </w:tc>
        <w:tc>
          <w:tcPr>
            <w:tcW w:type="dxa" w:w="2304"/>
          </w:tcPr>
          <w:p>
            <w:pPr>
              <w:spacing w:after="0"/>
              <w:jc w:val="center"/>
            </w:pPr>
            <w:r/>
            <w:r>
              <w:rPr>
                <w:sz w:val="17"/>
              </w:rPr>
              <w:t>23 outliers; max D 0.10</w:t>
            </w:r>
          </w:p>
        </w:tc>
        <w:tc>
          <w:tcPr>
            <w:tcW w:type="dxa" w:w="1872"/>
          </w:tcPr>
          <w:p>
            <w:pPr>
              <w:spacing w:after="0"/>
              <w:jc w:val="center"/>
            </w:pPr>
            <w:r/>
            <w:r>
              <w:rPr>
                <w:sz w:val="17"/>
              </w:rPr>
              <w:t>5 outliers; max D 0.02</w:t>
            </w:r>
          </w:p>
        </w:tc>
        <w:tc>
          <w:tcPr>
            <w:tcW w:type="dxa" w:w="1440"/>
          </w:tcPr>
          <w:p>
            <w:pPr>
              <w:spacing w:after="0"/>
              <w:jc w:val="center"/>
            </w:pPr>
            <w:r/>
            <w:r>
              <w:rPr>
                <w:sz w:val="17"/>
              </w:rPr>
              <w:t>None influential</w:t>
            </w:r>
          </w:p>
        </w:tc>
      </w:tr>
    </w:tbl>
    <w:p>
      <w:pPr>
        <w:spacing w:after="40"/>
      </w:pPr>
    </w:p>
    <w:p>
      <w:pPr>
        <w:keepNext/>
        <w:jc w:val="center"/>
      </w:pPr>
      <w:r>
        <w:drawing>
          <wp:inline xmlns:a="http://schemas.openxmlformats.org/drawingml/2006/main" xmlns:pic="http://schemas.openxmlformats.org/drawingml/2006/picture">
            <wp:extent cx="4572000" cy="3556000"/>
            <wp:docPr id="3" name="Picture 3"/>
            <wp:cNvGraphicFramePr>
              <a:graphicFrameLocks noChangeAspect="1"/>
            </wp:cNvGraphicFramePr>
            <a:graphic>
              <a:graphicData uri="http://schemas.openxmlformats.org/drawingml/2006/picture">
                <pic:pic>
                  <pic:nvPicPr>
                    <pic:cNvPr id="0" name="diag_m1.png"/>
                    <pic:cNvPicPr/>
                  </pic:nvPicPr>
                  <pic:blipFill>
                    <a:blip r:embed="rId11"/>
                    <a:stretch>
                      <a:fillRect/>
                    </a:stretch>
                  </pic:blipFill>
                  <pic:spPr>
                    <a:xfrm>
                      <a:off x="0" y="0"/>
                      <a:ext cx="4572000" cy="3556000"/>
                    </a:xfrm>
                    <a:prstGeom prst="rect"/>
                  </pic:spPr>
                </pic:pic>
              </a:graphicData>
            </a:graphic>
          </wp:inline>
        </w:drawing>
      </w:r>
    </w:p>
    <w:p>
      <w:pPr>
        <w:jc w:val="center"/>
      </w:pPr>
      <w:r>
        <w:rPr>
          <w:b w:val="0"/>
          <w:i/>
          <w:sz w:val="19"/>
        </w:rPr>
        <w:t>Figure 3. Model 1 diagnostics: uneven residual spread, a block of large negative residuals and a heavy left tail in the Q-Q plot.</w:t>
      </w:r>
    </w:p>
    <w:p>
      <w:pPr>
        <w:keepNext/>
        <w:jc w:val="center"/>
      </w:pPr>
      <w:r>
        <w:drawing>
          <wp:inline xmlns:a="http://schemas.openxmlformats.org/drawingml/2006/main" xmlns:pic="http://schemas.openxmlformats.org/drawingml/2006/picture">
            <wp:extent cx="4572000" cy="3556000"/>
            <wp:docPr id="4" name="Picture 4"/>
            <wp:cNvGraphicFramePr>
              <a:graphicFrameLocks noChangeAspect="1"/>
            </wp:cNvGraphicFramePr>
            <a:graphic>
              <a:graphicData uri="http://schemas.openxmlformats.org/drawingml/2006/picture">
                <pic:pic>
                  <pic:nvPicPr>
                    <pic:cNvPr id="0" name="diag_m2.png"/>
                    <pic:cNvPicPr/>
                  </pic:nvPicPr>
                  <pic:blipFill>
                    <a:blip r:embed="rId12"/>
                    <a:stretch>
                      <a:fillRect/>
                    </a:stretch>
                  </pic:blipFill>
                  <pic:spPr>
                    <a:xfrm>
                      <a:off x="0" y="0"/>
                      <a:ext cx="4572000" cy="3556000"/>
                    </a:xfrm>
                    <a:prstGeom prst="rect"/>
                  </pic:spPr>
                </pic:pic>
              </a:graphicData>
            </a:graphic>
          </wp:inline>
        </w:drawing>
      </w:r>
    </w:p>
    <w:p>
      <w:pPr>
        <w:jc w:val="center"/>
      </w:pPr>
      <w:r>
        <w:rPr>
          <w:b w:val="0"/>
          <w:i/>
          <w:sz w:val="19"/>
        </w:rPr>
        <w:t>Figure 4. Model 2 diagnostics: residuals are centred on zero with even spread and the P-P and Q-Q plots follow the diagonal.</w:t>
      </w:r>
    </w:p>
    <w:p>
      <w:r>
        <w:rPr>
          <w:b w:val="0"/>
          <w:i w:val="0"/>
        </w:rPr>
      </w:r>
      <w:r>
        <w:rPr>
          <w:b/>
          <w:i w:val="0"/>
        </w:rPr>
        <w:t>Conclusion on assumptions.</w:t>
      </w:r>
      <w:r>
        <w:rPr>
          <w:b w:val="0"/>
          <w:i w:val="0"/>
        </w:rPr>
        <w:t xml:space="preserve"> Model 1 fails; Model 2 satisfies the assumptions reasonably well.</w:t>
      </w:r>
    </w:p>
    <w:p>
      <w:pPr>
        <w:pStyle w:val="ListBullet"/>
        <w:spacing w:after="40"/>
      </w:pPr>
      <w:r>
        <w:rPr>
          <w:b w:val="0"/>
        </w:rPr>
      </w:r>
      <w:r>
        <w:rPr>
          <w:b/>
        </w:rPr>
        <w:t>Linearity / constant variance:</w:t>
      </w:r>
      <w:r>
        <w:rPr>
          <w:b w:val="0"/>
        </w:rPr>
        <w:t xml:space="preserve"> in Model 1 a block of large negative residuals (down to about -370 units) sits among the high-fitted store-weeks. They are the endcap weeks in the three stores without a regional rep (Bethesda, Coral Gables, Sarasota), which the model wrongly expected to sell hundreds of extra units. Adding the Endcap × Rep interaction removes this pattern. In the language of omitted variable bias, the missing interaction made Model 1 mis-specified.</w:t>
      </w:r>
    </w:p>
    <w:p>
      <w:pPr>
        <w:pStyle w:val="ListBullet"/>
        <w:spacing w:after="40"/>
      </w:pPr>
      <w:r>
        <w:rPr>
          <w:b w:val="0"/>
        </w:rPr>
      </w:r>
      <w:r>
        <w:rPr>
          <w:b/>
        </w:rPr>
        <w:t>Independence:</w:t>
      </w:r>
      <w:r>
        <w:rPr>
          <w:b w:val="0"/>
        </w:rPr>
        <w:t xml:space="preserve"> each store appears 11 times, so autocorrelation is a concern. Durbin-Watson is 1.39 for Model 1 (positive autocorrelation) and 2.11 for Model 2, essentially the no-autocorrelation value of 2. (The data are stacked store by store, so this is a rough check.)</w:t>
      </w:r>
    </w:p>
    <w:p>
      <w:pPr>
        <w:pStyle w:val="ListBullet"/>
        <w:spacing w:after="40"/>
      </w:pPr>
      <w:r>
        <w:rPr>
          <w:b w:val="0"/>
        </w:rPr>
      </w:r>
      <w:r>
        <w:rPr>
          <w:b/>
        </w:rPr>
        <w:t>Normality:</w:t>
      </w:r>
      <w:r>
        <w:rPr>
          <w:b w:val="0"/>
        </w:rPr>
        <w:t xml:space="preserve"> Model 2 residuals have skew -0.01 and kurtosis 3.05, almost exactly normal (0 and 3), against -0.93 and 8.5 for Model 1.</w:t>
      </w:r>
    </w:p>
    <w:p>
      <w:pPr>
        <w:pStyle w:val="ListBullet"/>
        <w:spacing w:after="40"/>
      </w:pPr>
      <w:r>
        <w:rPr>
          <w:b w:val="0"/>
        </w:rPr>
      </w:r>
      <w:r>
        <w:rPr>
          <w:b/>
        </w:rPr>
        <w:t>Multicollinearity:</w:t>
      </w:r>
      <w:r>
        <w:rPr>
          <w:b w:val="0"/>
        </w:rPr>
        <w:t xml:space="preserve"> all VIFs are below 1.3 (rule of thumb: a problem above 4). Rep and the Endcap × Rep term do not inflate each other (VIFs 1.27 and 1.05).</w:t>
      </w:r>
    </w:p>
    <w:p>
      <w:pPr>
        <w:pStyle w:val="ListBullet"/>
        <w:spacing w:after="40"/>
      </w:pPr>
      <w:r>
        <w:rPr>
          <w:b w:val="0"/>
        </w:rPr>
      </w:r>
      <w:r>
        <w:rPr>
          <w:b/>
        </w:rPr>
        <w:t>Outliers and leverage:</w:t>
      </w:r>
      <w:r>
        <w:rPr>
          <w:b w:val="0"/>
        </w:rPr>
        <w:t xml:space="preserve"> only 5 store-weeks have standardised residuals beyond ±3 (against 23 in Model 1). 194 points exceed the leverage cut-off 2(k+1)/n = 0.010, and the five highest-leverage points are all endcap-with-rep weeks (Pearl, Redmond, Redwood City, Roosevelt Square), but the maximum Cook's distance is only 0.02, far below 1. No observation is influential.</w:t>
      </w:r>
    </w:p>
    <w:p>
      <w:r>
        <w:rPr>
          <w:b w:val="0"/>
          <w:i w:val="0"/>
        </w:rPr>
      </w:r>
      <w:r>
        <w:rPr>
          <w:b/>
          <w:i w:val="0"/>
        </w:rPr>
        <w:t>Additional analysis performed to verify the model:</w:t>
      </w:r>
      <w:r>
        <w:rPr>
          <w:b w:val="0"/>
          <w:i w:val="0"/>
        </w:rPr>
        <w:t xml:space="preserve"> (i) stepwise selection with interaction terms; (ii) a partial F-test showing the Endcap × Rep interaction is highly significant (F = 944, p&lt;0.001); (iii) tests that Natural and Fitness, Region and all other interactions add nothing (Section 6); (iv) a log version of Model 2, which is worse (R² 0.61, kurtosis 5.8), so we keep units on the original scale.</w:t>
      </w:r>
    </w:p>
    <w:p>
      <w:pPr>
        <w:pStyle w:val="Heading1"/>
      </w:pPr>
      <w:r>
        <w:t>4. Question 3: Does the Demo Program Boost Sales, and for How Long?</w:t>
      </w:r>
    </w:p>
    <w:p>
      <w:r>
        <w:rPr>
          <w:b w:val="0"/>
          <w:i w:val="0"/>
        </w:rPr>
      </w:r>
      <w:r>
        <w:rPr>
          <w:b/>
          <w:i w:val="0"/>
        </w:rPr>
        <w:t>Yes.</w:t>
      </w:r>
      <w:r>
        <w:rPr>
          <w:b w:val="0"/>
          <w:i w:val="0"/>
        </w:rPr>
        <w:t xml:space="preserve"> In Model 2 all three demo coefficients are positive and significant (p&lt;0.001), holding rep, endcap and price fixed.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736"/>
            <w:shd w:val="clear" w:color="auto" w:fill="1F4E79"/>
          </w:tcPr>
          <w:p>
            <w:pPr>
              <w:spacing w:after="0"/>
            </w:pPr>
            <w:r/>
            <w:r>
              <w:rPr>
                <w:b/>
                <w:color w:val="FFFFFF"/>
                <w:sz w:val="19"/>
              </w:rPr>
              <w:t>Period relative to demo</w:t>
            </w:r>
          </w:p>
        </w:tc>
        <w:tc>
          <w:tcPr>
            <w:tcW w:type="dxa" w:w="2880"/>
            <w:shd w:val="clear" w:color="auto" w:fill="1F4E79"/>
          </w:tcPr>
          <w:p>
            <w:pPr>
              <w:spacing w:after="0"/>
              <w:jc w:val="center"/>
            </w:pPr>
            <w:r/>
            <w:r>
              <w:rPr>
                <w:b/>
                <w:color w:val="FFFFFF"/>
                <w:sz w:val="19"/>
              </w:rPr>
              <w:t>Extra units per store-week</w:t>
            </w:r>
          </w:p>
        </w:tc>
        <w:tc>
          <w:tcPr>
            <w:tcW w:type="dxa" w:w="2304"/>
            <w:shd w:val="clear" w:color="auto" w:fill="1F4E79"/>
          </w:tcPr>
          <w:p>
            <w:pPr>
              <w:spacing w:after="0"/>
              <w:jc w:val="center"/>
            </w:pPr>
            <w:r/>
            <w:r>
              <w:rPr>
                <w:b/>
                <w:color w:val="FFFFFF"/>
                <w:sz w:val="19"/>
              </w:rPr>
              <w:t>95% CI</w:t>
            </w:r>
          </w:p>
        </w:tc>
        <w:tc>
          <w:tcPr>
            <w:tcW w:type="dxa" w:w="1440"/>
            <w:shd w:val="clear" w:color="auto" w:fill="1F4E79"/>
          </w:tcPr>
          <w:p>
            <w:pPr>
              <w:spacing w:after="0"/>
              <w:jc w:val="center"/>
            </w:pPr>
            <w:r/>
            <w:r>
              <w:rPr>
                <w:b/>
                <w:color w:val="FFFFFF"/>
                <w:sz w:val="19"/>
              </w:rPr>
              <w:t>p-value</w:t>
            </w:r>
          </w:p>
        </w:tc>
      </w:tr>
      <w:tr>
        <w:tc>
          <w:tcPr>
            <w:tcW w:type="dxa" w:w="2736"/>
          </w:tcPr>
          <w:p>
            <w:pPr>
              <w:spacing w:after="0"/>
            </w:pPr>
            <w:r/>
            <w:r>
              <w:rPr>
                <w:sz w:val="19"/>
              </w:rPr>
              <w:t>Demo week</w:t>
            </w:r>
          </w:p>
        </w:tc>
        <w:tc>
          <w:tcPr>
            <w:tcW w:type="dxa" w:w="2880"/>
          </w:tcPr>
          <w:p>
            <w:pPr>
              <w:spacing w:after="0"/>
              <w:jc w:val="center"/>
            </w:pPr>
            <w:r/>
            <w:r>
              <w:rPr>
                <w:sz w:val="19"/>
              </w:rPr>
              <w:t>107</w:t>
            </w:r>
          </w:p>
        </w:tc>
        <w:tc>
          <w:tcPr>
            <w:tcW w:type="dxa" w:w="2304"/>
          </w:tcPr>
          <w:p>
            <w:pPr>
              <w:spacing w:after="0"/>
              <w:jc w:val="center"/>
            </w:pPr>
            <w:r/>
            <w:r>
              <w:rPr>
                <w:sz w:val="19"/>
              </w:rPr>
              <w:t>96 to 118</w:t>
            </w:r>
          </w:p>
        </w:tc>
        <w:tc>
          <w:tcPr>
            <w:tcW w:type="dxa" w:w="1440"/>
          </w:tcPr>
          <w:p>
            <w:pPr>
              <w:spacing w:after="0"/>
              <w:jc w:val="center"/>
            </w:pPr>
            <w:r/>
            <w:r>
              <w:rPr>
                <w:sz w:val="19"/>
              </w:rPr>
              <w:t>&lt;0.001</w:t>
            </w:r>
          </w:p>
        </w:tc>
      </w:tr>
      <w:tr>
        <w:tc>
          <w:tcPr>
            <w:tcW w:type="dxa" w:w="2736"/>
            <w:shd w:val="clear" w:color="auto" w:fill="EAF0F7"/>
          </w:tcPr>
          <w:p>
            <w:pPr>
              <w:spacing w:after="0"/>
            </w:pPr>
            <w:r/>
            <w:r>
              <w:rPr>
                <w:sz w:val="19"/>
              </w:rPr>
              <w:t>Weeks 1-3 after</w:t>
            </w:r>
          </w:p>
        </w:tc>
        <w:tc>
          <w:tcPr>
            <w:tcW w:type="dxa" w:w="2880"/>
            <w:shd w:val="clear" w:color="auto" w:fill="EAF0F7"/>
          </w:tcPr>
          <w:p>
            <w:pPr>
              <w:spacing w:after="0"/>
              <w:jc w:val="center"/>
            </w:pPr>
            <w:r/>
            <w:r>
              <w:rPr>
                <w:sz w:val="19"/>
              </w:rPr>
              <w:t>73</w:t>
            </w:r>
          </w:p>
        </w:tc>
        <w:tc>
          <w:tcPr>
            <w:tcW w:type="dxa" w:w="2304"/>
            <w:shd w:val="clear" w:color="auto" w:fill="EAF0F7"/>
          </w:tcPr>
          <w:p>
            <w:pPr>
              <w:spacing w:after="0"/>
              <w:jc w:val="center"/>
            </w:pPr>
            <w:r/>
            <w:r>
              <w:rPr>
                <w:sz w:val="19"/>
              </w:rPr>
              <w:t>66 to 81</w:t>
            </w:r>
          </w:p>
        </w:tc>
        <w:tc>
          <w:tcPr>
            <w:tcW w:type="dxa" w:w="1440"/>
            <w:shd w:val="clear" w:color="auto" w:fill="EAF0F7"/>
          </w:tcPr>
          <w:p>
            <w:pPr>
              <w:spacing w:after="0"/>
              <w:jc w:val="center"/>
            </w:pPr>
            <w:r/>
            <w:r>
              <w:rPr>
                <w:sz w:val="19"/>
              </w:rPr>
              <w:t>&lt;0.001</w:t>
            </w:r>
          </w:p>
        </w:tc>
      </w:tr>
      <w:tr>
        <w:tc>
          <w:tcPr>
            <w:tcW w:type="dxa" w:w="2736"/>
          </w:tcPr>
          <w:p>
            <w:pPr>
              <w:spacing w:after="0"/>
            </w:pPr>
            <w:r/>
            <w:r>
              <w:rPr>
                <w:sz w:val="19"/>
              </w:rPr>
              <w:t>Weeks 4-5+ after</w:t>
            </w:r>
          </w:p>
        </w:tc>
        <w:tc>
          <w:tcPr>
            <w:tcW w:type="dxa" w:w="2880"/>
          </w:tcPr>
          <w:p>
            <w:pPr>
              <w:spacing w:after="0"/>
              <w:jc w:val="center"/>
            </w:pPr>
            <w:r/>
            <w:r>
              <w:rPr>
                <w:sz w:val="19"/>
              </w:rPr>
              <w:t>75</w:t>
            </w:r>
          </w:p>
        </w:tc>
        <w:tc>
          <w:tcPr>
            <w:tcW w:type="dxa" w:w="2304"/>
          </w:tcPr>
          <w:p>
            <w:pPr>
              <w:spacing w:after="0"/>
              <w:jc w:val="center"/>
            </w:pPr>
            <w:r/>
            <w:r>
              <w:rPr>
                <w:sz w:val="19"/>
              </w:rPr>
              <w:t>65 to 84</w:t>
            </w:r>
          </w:p>
        </w:tc>
        <w:tc>
          <w:tcPr>
            <w:tcW w:type="dxa" w:w="1440"/>
          </w:tcPr>
          <w:p>
            <w:pPr>
              <w:spacing w:after="0"/>
              <w:jc w:val="center"/>
            </w:pPr>
            <w:r/>
            <w:r>
              <w:rPr>
                <w:sz w:val="19"/>
              </w:rPr>
              <w:t>&lt;0.001</w:t>
            </w:r>
          </w:p>
        </w:tc>
      </w:tr>
    </w:tbl>
    <w:p>
      <w:pPr>
        <w:spacing w:after="40"/>
      </w:pPr>
    </w:p>
    <w:p>
      <w:pPr>
        <w:keepNext/>
        <w:jc w:val="center"/>
      </w:pPr>
      <w:r>
        <w:drawing>
          <wp:inline xmlns:a="http://schemas.openxmlformats.org/drawingml/2006/main" xmlns:pic="http://schemas.openxmlformats.org/drawingml/2006/picture">
            <wp:extent cx="3840480" cy="2215662"/>
            <wp:docPr id="5" name="Picture 5"/>
            <wp:cNvGraphicFramePr>
              <a:graphicFrameLocks noChangeAspect="1"/>
            </wp:cNvGraphicFramePr>
            <a:graphic>
              <a:graphicData uri="http://schemas.openxmlformats.org/drawingml/2006/picture">
                <pic:pic>
                  <pic:nvPicPr>
                    <pic:cNvPr id="0" name="lift.png"/>
                    <pic:cNvPicPr/>
                  </pic:nvPicPr>
                  <pic:blipFill>
                    <a:blip r:embed="rId13"/>
                    <a:stretch>
                      <a:fillRect/>
                    </a:stretch>
                  </pic:blipFill>
                  <pic:spPr>
                    <a:xfrm>
                      <a:off x="0" y="0"/>
                      <a:ext cx="3840480" cy="2215662"/>
                    </a:xfrm>
                    <a:prstGeom prst="rect"/>
                  </pic:spPr>
                </pic:pic>
              </a:graphicData>
            </a:graphic>
          </wp:inline>
        </w:drawing>
      </w:r>
    </w:p>
    <w:p>
      <w:pPr>
        <w:jc w:val="center"/>
      </w:pPr>
      <w:r>
        <w:rPr>
          <w:b w:val="0"/>
          <w:i/>
          <w:sz w:val="19"/>
        </w:rPr>
        <w:t>Figure 5. Demo lift by period (Model 2, 95% confidence intervals).</w:t>
      </w:r>
    </w:p>
    <w:p>
      <w:r>
        <w:rPr>
          <w:b w:val="0"/>
          <w:i w:val="0"/>
        </w:rPr>
      </w:r>
      <w:r>
        <w:rPr>
          <w:b/>
          <w:i w:val="0"/>
        </w:rPr>
        <w:t>How long does the lift last?</w:t>
      </w:r>
      <w:r>
        <w:rPr>
          <w:b w:val="0"/>
          <w:i w:val="0"/>
        </w:rPr>
        <w:t xml:space="preserve"> The lift is largest in the demo week (107 units), then settles at about 73-75 units and </w:t>
      </w:r>
      <w:r>
        <w:rPr>
          <w:b/>
          <w:i w:val="0"/>
        </w:rPr>
        <w:t>stays there</w:t>
      </w:r>
      <w:r>
        <w:rPr>
          <w:b w:val="0"/>
          <w:i w:val="0"/>
        </w:rPr>
        <w:t xml:space="preserve"> in weeks 4-5+. A partial F-test shows that Demo1-3 and Demo4-5 are not different (F = 0.04, p = 0.85), whereas the demo week is significantly higher than the weeks after (Demo vs Demo1-3: F = 24.0, p&lt;0.001). So: </w:t>
      </w:r>
      <w:r>
        <w:rPr>
          <w:b/>
          <w:i w:val="0"/>
        </w:rPr>
        <w:t>an immediate spike, then a durable lift of about 75 units a week that has not decayed by week 5.</w:t>
      </w:r>
      <w:r>
        <w:rPr>
          <w:b w:val="0"/>
          <w:i w:val="0"/>
        </w:rPr>
        <w:t xml:space="preserve"> The last category is open-ended ("at least 4-5 weeks") and the window is short, so we know the effect lasts at least five weeks but not when it ends.</w:t>
      </w:r>
    </w:p>
    <w:p>
      <w:r>
        <w:rPr>
          <w:b w:val="0"/>
          <w:i w:val="0"/>
        </w:rPr>
      </w:r>
      <w:r>
        <w:rPr>
          <w:b/>
          <w:i w:val="0"/>
        </w:rPr>
        <w:t>Payoff per demo.</w:t>
      </w:r>
      <w:r>
        <w:rPr>
          <w:b w:val="0"/>
          <w:i w:val="0"/>
        </w:rPr>
        <w:t xml:space="preserve"> Over the six weeks (the demo week, three weeks of Demo1-3 and two of Demo4-5) a demo yields about 107 + 3×73 + 2×75 ≈ </w:t>
      </w:r>
      <w:r>
        <w:rPr>
          <w:b/>
          <w:i w:val="0"/>
        </w:rPr>
        <w:t>476 extra units</w:t>
      </w:r>
      <w:r>
        <w:rPr>
          <w:b w:val="0"/>
          <w:i w:val="0"/>
        </w:rPr>
        <w:t>, of which only about 22% falls in the demo week. Judging demos on demo-day sales alone understates their value by a factor of about four.</w:t>
      </w:r>
    </w:p>
    <w:p>
      <w:r>
        <w:rPr>
          <w:b w:val="0"/>
          <w:i w:val="0"/>
        </w:rPr>
      </w:r>
      <w:r>
        <w:rPr>
          <w:b/>
          <w:i w:val="0"/>
        </w:rPr>
        <w:t>Caveat:</w:t>
      </w:r>
      <w:r>
        <w:rPr>
          <w:b w:val="0"/>
          <w:i w:val="0"/>
        </w:rPr>
        <w:t xml:space="preserve"> demos were not randomly assigned. Management moved demos to higher-traffic Whole Foods stores, so some of the lift may reflect store quality. This is an association, and the true causal effect may be somewhat smaller.</w:t>
      </w:r>
    </w:p>
    <w:p>
      <w:pPr>
        <w:pStyle w:val="Heading1"/>
      </w:pPr>
      <w:r>
        <w:t>5. Question 4: Does In-Store Placement Affect Sales?</w:t>
      </w:r>
    </w:p>
    <w:p>
      <w:r>
        <w:rPr>
          <w:b w:val="0"/>
          <w:i w:val="0"/>
        </w:rPr>
      </w:r>
      <w:r>
        <w:rPr>
          <w:b/>
          <w:i w:val="0"/>
        </w:rPr>
        <w:t>Yes, but only when a regional rep is present.</w:t>
      </w:r>
      <w:r>
        <w:rPr>
          <w:b w:val="0"/>
          <w:i w:val="0"/>
        </w:rPr>
        <w:t xml:space="preserve"> Endcap placement is the largest lever, yet its effect depends entirely on rep coverage. Of the 53 endcap store-weeks, 36 are in 9 stores with a regional rep and 17 are in 3 stores without one (Bethesda, Coral Gables, Sarasota).</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1F4E79"/>
          </w:tcPr>
          <w:p>
            <w:pPr>
              <w:spacing w:after="0"/>
            </w:pPr>
            <w:r/>
            <w:r>
              <w:rPr>
                <w:b/>
                <w:color w:val="FFFFFF"/>
                <w:sz w:val="19"/>
              </w:rPr>
              <w:t>Store-week group</w:t>
            </w:r>
          </w:p>
        </w:tc>
        <w:tc>
          <w:tcPr>
            <w:tcW w:type="dxa" w:w="2016"/>
            <w:shd w:val="clear" w:color="auto" w:fill="1F4E79"/>
          </w:tcPr>
          <w:p>
            <w:pPr>
              <w:spacing w:after="0"/>
              <w:jc w:val="center"/>
            </w:pPr>
            <w:r/>
            <w:r>
              <w:rPr>
                <w:b/>
                <w:color w:val="FFFFFF"/>
                <w:sz w:val="19"/>
              </w:rPr>
              <w:t>Store-weeks</w:t>
            </w:r>
          </w:p>
        </w:tc>
        <w:tc>
          <w:tcPr>
            <w:tcW w:type="dxa" w:w="2304"/>
            <w:shd w:val="clear" w:color="auto" w:fill="1F4E79"/>
          </w:tcPr>
          <w:p>
            <w:pPr>
              <w:spacing w:after="0"/>
              <w:jc w:val="center"/>
            </w:pPr>
            <w:r/>
            <w:r>
              <w:rPr>
                <w:b/>
                <w:color w:val="FFFFFF"/>
                <w:sz w:val="19"/>
              </w:rPr>
              <w:t>Avg weekly units</w:t>
            </w:r>
          </w:p>
        </w:tc>
      </w:tr>
      <w:tr>
        <w:tc>
          <w:tcPr>
            <w:tcW w:type="dxa" w:w="3744"/>
          </w:tcPr>
          <w:p>
            <w:pPr>
              <w:spacing w:after="0"/>
            </w:pPr>
            <w:r/>
            <w:r>
              <w:rPr>
                <w:sz w:val="19"/>
              </w:rPr>
              <w:t>No endcap, no rep</w:t>
            </w:r>
          </w:p>
        </w:tc>
        <w:tc>
          <w:tcPr>
            <w:tcW w:type="dxa" w:w="2016"/>
          </w:tcPr>
          <w:p>
            <w:pPr>
              <w:spacing w:after="0"/>
              <w:jc w:val="center"/>
            </w:pPr>
            <w:r/>
            <w:r>
              <w:rPr>
                <w:sz w:val="19"/>
              </w:rPr>
              <w:t>607</w:t>
            </w:r>
          </w:p>
        </w:tc>
        <w:tc>
          <w:tcPr>
            <w:tcW w:type="dxa" w:w="2304"/>
          </w:tcPr>
          <w:p>
            <w:pPr>
              <w:spacing w:after="0"/>
              <w:jc w:val="center"/>
            </w:pPr>
            <w:r/>
            <w:r>
              <w:rPr>
                <w:sz w:val="19"/>
              </w:rPr>
              <w:t>198</w:t>
            </w:r>
          </w:p>
        </w:tc>
      </w:tr>
      <w:tr>
        <w:tc>
          <w:tcPr>
            <w:tcW w:type="dxa" w:w="3744"/>
            <w:shd w:val="clear" w:color="auto" w:fill="EAF0F7"/>
          </w:tcPr>
          <w:p>
            <w:pPr>
              <w:spacing w:after="0"/>
            </w:pPr>
            <w:r/>
            <w:r>
              <w:rPr>
                <w:sz w:val="19"/>
              </w:rPr>
              <w:t>No endcap, regional rep</w:t>
            </w:r>
          </w:p>
        </w:tc>
        <w:tc>
          <w:tcPr>
            <w:tcW w:type="dxa" w:w="2016"/>
            <w:shd w:val="clear" w:color="auto" w:fill="EAF0F7"/>
          </w:tcPr>
          <w:p>
            <w:pPr>
              <w:spacing w:after="0"/>
              <w:jc w:val="center"/>
            </w:pPr>
            <w:r/>
            <w:r>
              <w:rPr>
                <w:sz w:val="19"/>
              </w:rPr>
              <w:t>726</w:t>
            </w:r>
          </w:p>
        </w:tc>
        <w:tc>
          <w:tcPr>
            <w:tcW w:type="dxa" w:w="2304"/>
            <w:shd w:val="clear" w:color="auto" w:fill="EAF0F7"/>
          </w:tcPr>
          <w:p>
            <w:pPr>
              <w:spacing w:after="0"/>
              <w:jc w:val="center"/>
            </w:pPr>
            <w:r/>
            <w:r>
              <w:rPr>
                <w:sz w:val="19"/>
              </w:rPr>
              <w:t>276</w:t>
            </w:r>
          </w:p>
        </w:tc>
      </w:tr>
      <w:tr>
        <w:tc>
          <w:tcPr>
            <w:tcW w:type="dxa" w:w="3744"/>
          </w:tcPr>
          <w:p>
            <w:pPr>
              <w:spacing w:after="0"/>
            </w:pPr>
            <w:r/>
            <w:r>
              <w:rPr>
                <w:sz w:val="19"/>
              </w:rPr>
              <w:t>Endcap, no rep</w:t>
            </w:r>
          </w:p>
        </w:tc>
        <w:tc>
          <w:tcPr>
            <w:tcW w:type="dxa" w:w="2016"/>
          </w:tcPr>
          <w:p>
            <w:pPr>
              <w:spacing w:after="0"/>
              <w:jc w:val="center"/>
            </w:pPr>
            <w:r/>
            <w:r>
              <w:rPr>
                <w:sz w:val="19"/>
              </w:rPr>
              <w:t>17</w:t>
            </w:r>
          </w:p>
        </w:tc>
        <w:tc>
          <w:tcPr>
            <w:tcW w:type="dxa" w:w="2304"/>
          </w:tcPr>
          <w:p>
            <w:pPr>
              <w:spacing w:after="0"/>
              <w:jc w:val="center"/>
            </w:pPr>
            <w:r/>
            <w:r>
              <w:rPr>
                <w:sz w:val="19"/>
              </w:rPr>
              <w:t>218</w:t>
            </w:r>
          </w:p>
        </w:tc>
      </w:tr>
      <w:tr>
        <w:tc>
          <w:tcPr>
            <w:tcW w:type="dxa" w:w="3744"/>
            <w:shd w:val="clear" w:color="auto" w:fill="EAF0F7"/>
          </w:tcPr>
          <w:p>
            <w:pPr>
              <w:spacing w:after="0"/>
            </w:pPr>
            <w:r/>
            <w:r>
              <w:rPr>
                <w:sz w:val="19"/>
              </w:rPr>
              <w:t>Endcap, regional rep</w:t>
            </w:r>
          </w:p>
        </w:tc>
        <w:tc>
          <w:tcPr>
            <w:tcW w:type="dxa" w:w="2016"/>
            <w:shd w:val="clear" w:color="auto" w:fill="EAF0F7"/>
          </w:tcPr>
          <w:p>
            <w:pPr>
              <w:spacing w:after="0"/>
              <w:jc w:val="center"/>
            </w:pPr>
            <w:r/>
            <w:r>
              <w:rPr>
                <w:sz w:val="19"/>
              </w:rPr>
              <w:t>36</w:t>
            </w:r>
          </w:p>
        </w:tc>
        <w:tc>
          <w:tcPr>
            <w:tcW w:type="dxa" w:w="2304"/>
            <w:shd w:val="clear" w:color="auto" w:fill="EAF0F7"/>
          </w:tcPr>
          <w:p>
            <w:pPr>
              <w:spacing w:after="0"/>
              <w:jc w:val="center"/>
            </w:pPr>
            <w:r/>
            <w:r>
              <w:rPr>
                <w:sz w:val="19"/>
              </w:rPr>
              <w:t>757</w:t>
            </w:r>
          </w:p>
        </w:tc>
      </w:tr>
    </w:tbl>
    <w:p>
      <w:pPr>
        <w:spacing w:after="40"/>
      </w:pPr>
    </w:p>
    <w:p>
      <w:pPr>
        <w:keepNext/>
        <w:jc w:val="center"/>
      </w:pPr>
      <w:r>
        <w:drawing>
          <wp:inline xmlns:a="http://schemas.openxmlformats.org/drawingml/2006/main" xmlns:pic="http://schemas.openxmlformats.org/drawingml/2006/picture">
            <wp:extent cx="4754880" cy="2377440"/>
            <wp:docPr id="6" name="Picture 6"/>
            <wp:cNvGraphicFramePr>
              <a:graphicFrameLocks noChangeAspect="1"/>
            </wp:cNvGraphicFramePr>
            <a:graphic>
              <a:graphicData uri="http://schemas.openxmlformats.org/drawingml/2006/picture">
                <pic:pic>
                  <pic:nvPicPr>
                    <pic:cNvPr id="0" name="endcap.png"/>
                    <pic:cNvPicPr/>
                  </pic:nvPicPr>
                  <pic:blipFill>
                    <a:blip r:embed="rId14"/>
                    <a:stretch>
                      <a:fillRect/>
                    </a:stretch>
                  </pic:blipFill>
                  <pic:spPr>
                    <a:xfrm>
                      <a:off x="0" y="0"/>
                      <a:ext cx="4754880" cy="2377440"/>
                    </a:xfrm>
                    <a:prstGeom prst="rect"/>
                  </pic:spPr>
                </pic:pic>
              </a:graphicData>
            </a:graphic>
          </wp:inline>
        </w:drawing>
      </w:r>
    </w:p>
    <w:p>
      <w:pPr>
        <w:jc w:val="center"/>
      </w:pPr>
      <w:r>
        <w:rPr>
          <w:b w:val="0"/>
          <w:i/>
          <w:sz w:val="19"/>
        </w:rPr>
        <w:t>Figure 6. Average weekly units by endcap and sales-rep coverage. An endcap without a rep shows no lift.</w:t>
      </w:r>
    </w:p>
    <w:p>
      <w:r>
        <w:rPr>
          <w:b w:val="0"/>
          <w:i w:val="0"/>
        </w:rPr>
      </w:r>
      <w:r>
        <w:rPr>
          <w:b/>
          <w:i w:val="0"/>
        </w:rPr>
        <w:t>Regression result.</w:t>
      </w:r>
      <w:r>
        <w:rPr>
          <w:b w:val="0"/>
          <w:i w:val="0"/>
        </w:rPr>
        <w:t xml:space="preserve"> After controlling for the other variables, an endcap adds </w:t>
      </w:r>
      <w:r>
        <w:rPr>
          <w:b/>
          <w:i w:val="0"/>
        </w:rPr>
        <w:t>454 units a week in rep stores</w:t>
      </w:r>
      <w:r>
        <w:rPr>
          <w:b w:val="0"/>
          <w:i w:val="0"/>
        </w:rPr>
        <w:t xml:space="preserve"> (95% CI 438 to 471, p&lt;0.001) and </w:t>
      </w:r>
      <w:r>
        <w:rPr>
          <w:b/>
          <w:i w:val="0"/>
        </w:rPr>
        <w:t>about zero in non-rep stores</w:t>
      </w:r>
      <w:r>
        <w:rPr>
          <w:b w:val="0"/>
          <w:i w:val="0"/>
        </w:rPr>
        <w:t xml:space="preserve"> (coefficient 0.6, p = 0.96). The combined effect of rep and endcap is about 514 extra units a week.</w:t>
      </w:r>
    </w:p>
    <w:p>
      <w:r>
        <w:rPr>
          <w:b w:val="0"/>
          <w:i w:val="0"/>
        </w:rPr>
      </w:r>
      <w:r>
        <w:rPr>
          <w:b/>
          <w:i w:val="0"/>
        </w:rPr>
        <w:t>Other placement-related factors we tested.</w:t>
      </w:r>
      <w:r>
        <w:rPr>
          <w:b w:val="0"/>
          <w:i w:val="0"/>
        </w:rPr>
        <w:t xml:space="preserve"> None of the other 15 interaction terms is significant when added to Model 2 (p-values between 0.15 and 0.95); in particular Endcap × Demo (p = 0.27) and Rep × Demo (p = 0.77) are insignificant, so demos work equally with or without an endcap or a rep. The ten Region dummies are jointly insignificant (partial F = 0.89, p = 0.54).</w:t>
      </w:r>
    </w:p>
    <w:p>
      <w:r>
        <w:rPr>
          <w:b w:val="0"/>
          <w:i w:val="0"/>
        </w:rPr>
      </w:r>
      <w:r>
        <w:rPr>
          <w:b/>
          <w:i w:val="0"/>
        </w:rPr>
        <w:t>Caution.</w:t>
      </w:r>
      <w:r>
        <w:rPr>
          <w:b w:val="0"/>
          <w:i w:val="0"/>
        </w:rPr>
        <w:t xml:space="preserve"> The no-rep result rests on only 3 stores and 17 store-weeks. It is a clear and large difference, but it should be confirmed with more endcaps in non-rep stores. A plausible reason (not tested here) is that a regional rep sets up and maintains the display and keeps the shelf stocked.</w:t>
      </w:r>
    </w:p>
    <w:p>
      <w:pPr>
        <w:pStyle w:val="Heading1"/>
      </w:pPr>
      <w:r>
        <w:t>6. Question 5: Improving and Refining the Model</w:t>
      </w:r>
    </w:p>
    <w:p>
      <w:r>
        <w:rPr>
          <w:b w:val="0"/>
          <w:i w:val="0"/>
        </w:rPr>
        <w:t>The table summarises the refinements we tried and what each told us.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F4E79"/>
          </w:tcPr>
          <w:p>
            <w:pPr>
              <w:spacing w:after="0"/>
            </w:pPr>
            <w:r/>
            <w:r>
              <w:rPr>
                <w:b/>
                <w:color w:val="FFFFFF"/>
                <w:sz w:val="18"/>
              </w:rPr>
              <w:t>Refinement</w:t>
            </w:r>
          </w:p>
        </w:tc>
        <w:tc>
          <w:tcPr>
            <w:tcW w:type="dxa" w:w="3312"/>
            <w:shd w:val="clear" w:color="auto" w:fill="1F4E79"/>
          </w:tcPr>
          <w:p>
            <w:pPr>
              <w:spacing w:after="0"/>
              <w:jc w:val="center"/>
            </w:pPr>
            <w:r/>
            <w:r>
              <w:rPr>
                <w:b/>
                <w:color w:val="FFFFFF"/>
                <w:sz w:val="18"/>
              </w:rPr>
              <w:t>What we did</w:t>
            </w:r>
          </w:p>
        </w:tc>
        <w:tc>
          <w:tcPr>
            <w:tcW w:type="dxa" w:w="3744"/>
            <w:shd w:val="clear" w:color="auto" w:fill="1F4E79"/>
          </w:tcPr>
          <w:p>
            <w:pPr>
              <w:spacing w:after="0"/>
              <w:jc w:val="center"/>
            </w:pPr>
            <w:r/>
            <w:r>
              <w:rPr>
                <w:b/>
                <w:color w:val="FFFFFF"/>
                <w:sz w:val="18"/>
              </w:rPr>
              <w:t>Result</w:t>
            </w:r>
          </w:p>
        </w:tc>
      </w:tr>
      <w:tr>
        <w:tc>
          <w:tcPr>
            <w:tcW w:type="dxa" w:w="2304"/>
          </w:tcPr>
          <w:p>
            <w:pPr>
              <w:spacing w:after="0"/>
            </w:pPr>
            <w:r/>
            <w:r>
              <w:rPr>
                <w:sz w:val="18"/>
              </w:rPr>
              <w:t>Stepwise selection</w:t>
            </w:r>
          </w:p>
        </w:tc>
        <w:tc>
          <w:tcPr>
            <w:tcW w:type="dxa" w:w="3312"/>
          </w:tcPr>
          <w:p>
            <w:pPr>
              <w:spacing w:after="0"/>
              <w:jc w:val="center"/>
            </w:pPr>
            <w:r/>
            <w:r>
              <w:rPr>
                <w:sz w:val="18"/>
              </w:rPr>
              <w:t>Forward, p-in 0.05 / p-out 0.10, 8 variables + 16 interactions</w:t>
            </w:r>
          </w:p>
        </w:tc>
        <w:tc>
          <w:tcPr>
            <w:tcW w:type="dxa" w:w="3744"/>
          </w:tcPr>
          <w:p>
            <w:pPr>
              <w:spacing w:after="0"/>
              <w:jc w:val="center"/>
            </w:pPr>
            <w:r/>
            <w:r>
              <w:rPr>
                <w:sz w:val="18"/>
              </w:rPr>
              <w:t>Selected 6 terms; R² 0.67 → 0.81</w:t>
            </w:r>
          </w:p>
        </w:tc>
      </w:tr>
      <w:tr>
        <w:tc>
          <w:tcPr>
            <w:tcW w:type="dxa" w:w="2304"/>
            <w:shd w:val="clear" w:color="auto" w:fill="EAF0F7"/>
          </w:tcPr>
          <w:p>
            <w:pPr>
              <w:spacing w:after="0"/>
            </w:pPr>
            <w:r/>
            <w:r>
              <w:rPr>
                <w:sz w:val="18"/>
              </w:rPr>
              <w:t>Endcap × Rep interaction</w:t>
            </w:r>
          </w:p>
        </w:tc>
        <w:tc>
          <w:tcPr>
            <w:tcW w:type="dxa" w:w="3312"/>
            <w:shd w:val="clear" w:color="auto" w:fill="EAF0F7"/>
          </w:tcPr>
          <w:p>
            <w:pPr>
              <w:spacing w:after="0"/>
              <w:jc w:val="center"/>
            </w:pPr>
            <w:r/>
            <w:r>
              <w:rPr>
                <w:sz w:val="18"/>
              </w:rPr>
              <w:t>Added to Model 1; partial F-test</w:t>
            </w:r>
          </w:p>
        </w:tc>
        <w:tc>
          <w:tcPr>
            <w:tcW w:type="dxa" w:w="3744"/>
            <w:shd w:val="clear" w:color="auto" w:fill="EAF0F7"/>
          </w:tcPr>
          <w:p>
            <w:pPr>
              <w:spacing w:after="0"/>
              <w:jc w:val="center"/>
            </w:pPr>
            <w:r/>
            <w:r>
              <w:rPr>
                <w:sz w:val="18"/>
              </w:rPr>
              <w:t>F = 944, p&lt;0.001; fixes the residual problems</w:t>
            </w:r>
          </w:p>
        </w:tc>
      </w:tr>
      <w:tr>
        <w:tc>
          <w:tcPr>
            <w:tcW w:type="dxa" w:w="2304"/>
          </w:tcPr>
          <w:p>
            <w:pPr>
              <w:spacing w:after="0"/>
            </w:pPr>
            <w:r/>
            <w:r>
              <w:rPr>
                <w:sz w:val="18"/>
              </w:rPr>
              <w:t>Other 15 interactions</w:t>
            </w:r>
          </w:p>
        </w:tc>
        <w:tc>
          <w:tcPr>
            <w:tcW w:type="dxa" w:w="3312"/>
          </w:tcPr>
          <w:p>
            <w:pPr>
              <w:spacing w:after="0"/>
              <w:jc w:val="center"/>
            </w:pPr>
            <w:r/>
            <w:r>
              <w:rPr>
                <w:sz w:val="18"/>
              </w:rPr>
              <w:t>Added one at a time to Model 2</w:t>
            </w:r>
          </w:p>
        </w:tc>
        <w:tc>
          <w:tcPr>
            <w:tcW w:type="dxa" w:w="3744"/>
          </w:tcPr>
          <w:p>
            <w:pPr>
              <w:spacing w:after="0"/>
              <w:jc w:val="center"/>
            </w:pPr>
            <w:r/>
            <w:r>
              <w:rPr>
                <w:sz w:val="18"/>
              </w:rPr>
              <w:t>All insignificant (p 0.15 to 0.95)</w:t>
            </w:r>
          </w:p>
        </w:tc>
      </w:tr>
      <w:tr>
        <w:tc>
          <w:tcPr>
            <w:tcW w:type="dxa" w:w="2304"/>
            <w:shd w:val="clear" w:color="auto" w:fill="EAF0F7"/>
          </w:tcPr>
          <w:p>
            <w:pPr>
              <w:spacing w:after="0"/>
            </w:pPr>
            <w:r/>
            <w:r>
              <w:rPr>
                <w:sz w:val="18"/>
              </w:rPr>
              <w:t>All 2-, 3-, 4-way products</w:t>
            </w:r>
          </w:p>
        </w:tc>
        <w:tc>
          <w:tcPr>
            <w:tcW w:type="dxa" w:w="3312"/>
            <w:shd w:val="clear" w:color="auto" w:fill="EAF0F7"/>
          </w:tcPr>
          <w:p>
            <w:pPr>
              <w:spacing w:after="0"/>
              <w:jc w:val="center"/>
            </w:pPr>
            <w:r/>
            <w:r>
              <w:rPr>
                <w:sz w:val="18"/>
              </w:rPr>
              <w:t>Stepwise on 154 terms; each term added to Model 2; 10-fold CV</w:t>
            </w:r>
          </w:p>
        </w:tc>
        <w:tc>
          <w:tcPr>
            <w:tcW w:type="dxa" w:w="3744"/>
            <w:shd w:val="clear" w:color="auto" w:fill="EAF0F7"/>
          </w:tcPr>
          <w:p>
            <w:pPr>
              <w:spacing w:after="0"/>
              <w:jc w:val="center"/>
            </w:pPr>
            <w:r/>
            <w:r>
              <w:rPr>
                <w:sz w:val="18"/>
              </w:rPr>
              <w:t>Same model selected; none of 117 terms significant; best prediction error (RMSE 49.1)</w:t>
            </w:r>
          </w:p>
        </w:tc>
      </w:tr>
      <w:tr>
        <w:tc>
          <w:tcPr>
            <w:tcW w:type="dxa" w:w="2304"/>
          </w:tcPr>
          <w:p>
            <w:pPr>
              <w:spacing w:after="0"/>
            </w:pPr>
            <w:r/>
            <w:r>
              <w:rPr>
                <w:sz w:val="18"/>
              </w:rPr>
              <w:t>Natural and Fitness</w:t>
            </w:r>
          </w:p>
        </w:tc>
        <w:tc>
          <w:tcPr>
            <w:tcW w:type="dxa" w:w="3312"/>
          </w:tcPr>
          <w:p>
            <w:pPr>
              <w:spacing w:after="0"/>
              <w:jc w:val="center"/>
            </w:pPr>
            <w:r/>
            <w:r>
              <w:rPr>
                <w:sz w:val="18"/>
              </w:rPr>
              <w:t>Added back; partial F-test</w:t>
            </w:r>
          </w:p>
        </w:tc>
        <w:tc>
          <w:tcPr>
            <w:tcW w:type="dxa" w:w="3744"/>
          </w:tcPr>
          <w:p>
            <w:pPr>
              <w:spacing w:after="0"/>
              <w:jc w:val="center"/>
            </w:pPr>
            <w:r/>
            <w:r>
              <w:rPr>
                <w:sz w:val="18"/>
              </w:rPr>
              <w:t>F = 0.04, p = 0.96; excluded</w:t>
            </w:r>
          </w:p>
        </w:tc>
      </w:tr>
      <w:tr>
        <w:tc>
          <w:tcPr>
            <w:tcW w:type="dxa" w:w="2304"/>
            <w:shd w:val="clear" w:color="auto" w:fill="EAF0F7"/>
          </w:tcPr>
          <w:p>
            <w:pPr>
              <w:spacing w:after="0"/>
            </w:pPr>
            <w:r/>
            <w:r>
              <w:rPr>
                <w:sz w:val="18"/>
              </w:rPr>
              <w:t>Plain Endcap term</w:t>
            </w:r>
          </w:p>
        </w:tc>
        <w:tc>
          <w:tcPr>
            <w:tcW w:type="dxa" w:w="3312"/>
            <w:shd w:val="clear" w:color="auto" w:fill="EAF0F7"/>
          </w:tcPr>
          <w:p>
            <w:pPr>
              <w:spacing w:after="0"/>
              <w:jc w:val="center"/>
            </w:pPr>
            <w:r/>
            <w:r>
              <w:rPr>
                <w:sz w:val="18"/>
              </w:rPr>
              <w:t>Added back to Model 2</w:t>
            </w:r>
          </w:p>
        </w:tc>
        <w:tc>
          <w:tcPr>
            <w:tcW w:type="dxa" w:w="3744"/>
            <w:shd w:val="clear" w:color="auto" w:fill="EAF0F7"/>
          </w:tcPr>
          <w:p>
            <w:pPr>
              <w:spacing w:after="0"/>
              <w:jc w:val="center"/>
            </w:pPr>
            <w:r/>
            <w:r>
              <w:rPr>
                <w:sz w:val="18"/>
              </w:rPr>
              <w:t>p = 0.96; excluded</w:t>
            </w:r>
          </w:p>
        </w:tc>
      </w:tr>
      <w:tr>
        <w:tc>
          <w:tcPr>
            <w:tcW w:type="dxa" w:w="2304"/>
          </w:tcPr>
          <w:p>
            <w:pPr>
              <w:spacing w:after="0"/>
            </w:pPr>
            <w:r/>
            <w:r>
              <w:rPr>
                <w:sz w:val="18"/>
              </w:rPr>
              <w:t>Region dummies</w:t>
            </w:r>
          </w:p>
        </w:tc>
        <w:tc>
          <w:tcPr>
            <w:tcW w:type="dxa" w:w="3312"/>
          </w:tcPr>
          <w:p>
            <w:pPr>
              <w:spacing w:after="0"/>
              <w:jc w:val="center"/>
            </w:pPr>
            <w:r/>
            <w:r>
              <w:rPr>
                <w:sz w:val="18"/>
              </w:rPr>
              <w:t>10 dummies; partial F-test</w:t>
            </w:r>
          </w:p>
        </w:tc>
        <w:tc>
          <w:tcPr>
            <w:tcW w:type="dxa" w:w="3744"/>
          </w:tcPr>
          <w:p>
            <w:pPr>
              <w:spacing w:after="0"/>
              <w:jc w:val="center"/>
            </w:pPr>
            <w:r/>
            <w:r>
              <w:rPr>
                <w:sz w:val="18"/>
              </w:rPr>
              <w:t>p = 0.54; adj. R² 0.805 → 0.805; not needed</w:t>
            </w:r>
          </w:p>
        </w:tc>
      </w:tr>
      <w:tr>
        <w:tc>
          <w:tcPr>
            <w:tcW w:type="dxa" w:w="2304"/>
            <w:shd w:val="clear" w:color="auto" w:fill="EAF0F7"/>
          </w:tcPr>
          <w:p>
            <w:pPr>
              <w:spacing w:after="0"/>
            </w:pPr>
            <w:r/>
            <w:r>
              <w:rPr>
                <w:sz w:val="18"/>
              </w:rPr>
              <w:t>Log transformation</w:t>
            </w:r>
          </w:p>
        </w:tc>
        <w:tc>
          <w:tcPr>
            <w:tcW w:type="dxa" w:w="3312"/>
            <w:shd w:val="clear" w:color="auto" w:fill="EAF0F7"/>
          </w:tcPr>
          <w:p>
            <w:pPr>
              <w:spacing w:after="0"/>
              <w:jc w:val="center"/>
            </w:pPr>
            <w:r/>
            <w:r>
              <w:rPr>
                <w:sz w:val="18"/>
              </w:rPr>
              <w:t>Same 6 terms on ln(units)</w:t>
            </w:r>
          </w:p>
        </w:tc>
        <w:tc>
          <w:tcPr>
            <w:tcW w:type="dxa" w:w="3744"/>
            <w:shd w:val="clear" w:color="auto" w:fill="EAF0F7"/>
          </w:tcPr>
          <w:p>
            <w:pPr>
              <w:spacing w:after="0"/>
              <w:jc w:val="center"/>
            </w:pPr>
            <w:r/>
            <w:r>
              <w:rPr>
                <w:sz w:val="18"/>
              </w:rPr>
              <w:t>R² 0.61, kurtosis 5.8; worse, so not used</w:t>
            </w:r>
          </w:p>
        </w:tc>
      </w:tr>
    </w:tbl>
    <w:p>
      <w:pPr>
        <w:spacing w:after="40"/>
      </w:pPr>
    </w:p>
    <w:p>
      <w:r>
        <w:rPr>
          <w:b w:val="0"/>
          <w:i w:val="0"/>
        </w:rPr>
      </w:r>
      <w:r>
        <w:rPr>
          <w:b/>
          <w:i w:val="0"/>
        </w:rPr>
        <w:t>Further suggestions:</w:t>
      </w:r>
      <w:r>
        <w:rPr>
          <w:b w:val="0"/>
          <w:i w:val="0"/>
        </w:rPr>
      </w:r>
    </w:p>
    <w:p>
      <w:pPr>
        <w:pStyle w:val="ListBullet"/>
        <w:spacing w:after="40"/>
      </w:pPr>
      <w:r>
        <w:rPr>
          <w:b w:val="0"/>
        </w:rPr>
      </w:r>
      <w:r>
        <w:rPr>
          <w:b/>
        </w:rPr>
        <w:t>Add explanatory variables:</w:t>
      </w:r>
      <w:r>
        <w:rPr>
          <w:b w:val="0"/>
        </w:rPr>
        <w:t xml:space="preserve"> store size or foot traffic (a likely omitted variable, since demos and endcaps went to bigger stores), competitor prices and promotions, and holidays (the July 4 week is in the window). Omitted variables could bias the lever coefficients.</w:t>
      </w:r>
    </w:p>
    <w:p>
      <w:pPr>
        <w:pStyle w:val="ListBullet"/>
        <w:spacing w:after="40"/>
      </w:pPr>
      <w:r>
        <w:rPr>
          <w:b w:val="0"/>
        </w:rPr>
      </w:r>
      <w:r>
        <w:rPr>
          <w:b/>
        </w:rPr>
        <w:t>Strengthen the endcap-with-rep finding:</w:t>
      </w:r>
      <w:r>
        <w:rPr>
          <w:b w:val="0"/>
        </w:rPr>
        <w:t xml:space="preserve"> collect more endcap weeks in stores without a rep, and record whether the display was actually stocked and set up.</w:t>
      </w:r>
    </w:p>
    <w:p>
      <w:pPr>
        <w:pStyle w:val="ListBullet"/>
        <w:spacing w:after="40"/>
      </w:pPr>
      <w:r>
        <w:rPr>
          <w:b w:val="0"/>
        </w:rPr>
      </w:r>
      <w:r>
        <w:rPr>
          <w:b/>
        </w:rPr>
        <w:t>Model decay more finely:</w:t>
      </w:r>
      <w:r>
        <w:rPr>
          <w:b w:val="0"/>
        </w:rPr>
        <w:t xml:space="preserve"> replace Demo1-3 and Demo4-5 with a separate dummy for each week since the demo, using a longer data period.</w:t>
      </w:r>
    </w:p>
    <w:p>
      <w:pPr>
        <w:pStyle w:val="ListBullet"/>
        <w:spacing w:after="40"/>
      </w:pPr>
      <w:r>
        <w:rPr>
          <w:b w:val="0"/>
        </w:rPr>
      </w:r>
      <w:r>
        <w:rPr>
          <w:b/>
        </w:rPr>
        <w:t>Randomise</w:t>
      </w:r>
      <w:r>
        <w:rPr>
          <w:b w:val="0"/>
        </w:rPr>
        <w:t xml:space="preserve"> demos, endcaps and reps across comparable stores in a pilot so the effects can be read as causal.</w:t>
      </w:r>
    </w:p>
    <w:p>
      <w:pPr>
        <w:pStyle w:val="ListBullet"/>
        <w:spacing w:after="40"/>
      </w:pPr>
      <w:r>
        <w:rPr>
          <w:b w:val="0"/>
        </w:rPr>
      </w:r>
      <w:r>
        <w:rPr>
          <w:b/>
        </w:rPr>
        <w:t>Clean the data:</w:t>
      </w:r>
      <w:r>
        <w:rPr>
          <w:b w:val="0"/>
        </w:rPr>
        <w:t xml:space="preserve"> Region is missing for 13 stores, the data note says 10 weeks but the file has 11, and Rep and Natural change over time in a few stores (confirm these are real changes).</w:t>
      </w:r>
    </w:p>
    <w:p>
      <w:pPr>
        <w:pStyle w:val="Heading1"/>
      </w:pPr>
      <w:r>
        <w:t>7. Question 6: Managerial Implications and Recommendations</w:t>
      </w:r>
    </w:p>
    <w:p>
      <w:pPr>
        <w:pStyle w:val="ListBullet"/>
        <w:spacing w:after="40"/>
      </w:pPr>
      <w:r>
        <w:rPr>
          <w:b w:val="0"/>
        </w:rPr>
      </w:r>
      <w:r>
        <w:rPr>
          <w:b/>
        </w:rPr>
        <w:t>Pair every endcap with a regional rep.</w:t>
      </w:r>
      <w:r>
        <w:rPr>
          <w:b w:val="0"/>
        </w:rPr>
        <w:t xml:space="preserve"> An endcap adds about 454 units a week in rep stores and nothing elsewhere. Do not pay for endcaps in stores without face-to-face coverage; extend rep coverage first, then place endcaps. Combined, rep plus endcap is worth about 514 units a week.</w:t>
      </w:r>
    </w:p>
    <w:p>
      <w:pPr>
        <w:pStyle w:val="ListBullet"/>
        <w:spacing w:after="40"/>
      </w:pPr>
      <w:r>
        <w:rPr>
          <w:b w:val="0"/>
        </w:rPr>
      </w:r>
      <w:r>
        <w:rPr>
          <w:b/>
        </w:rPr>
        <w:t>Keep and extend the demo programme, and measure it over six weeks.</w:t>
      </w:r>
      <w:r>
        <w:rPr>
          <w:b w:val="0"/>
        </w:rPr>
        <w:t xml:space="preserve"> One demo is worth about 476 extra units, most of which arrive after demo day. Evaluate demos on cumulative lift, not demo-week sales, and compare that gain with the cost per demo. Demos work with or without a rep or endcap, so they remain the most flexible lever.</w:t>
      </w:r>
    </w:p>
    <w:p>
      <w:pPr>
        <w:pStyle w:val="ListBullet"/>
        <w:spacing w:after="40"/>
      </w:pPr>
      <w:r>
        <w:rPr>
          <w:b w:val="0"/>
        </w:rPr>
      </w:r>
      <w:r>
        <w:rPr>
          <w:b/>
        </w:rPr>
        <w:t>Put regional reps where there are none.</w:t>
      </w:r>
      <w:r>
        <w:rPr>
          <w:b w:val="0"/>
        </w:rPr>
        <w:t xml:space="preserve"> About 55% of store-weeks already have face-to-face coverage and a rep alone adds about 59 units a week. Roll out to uncovered stores in waves, which also gives a natural comparison group.</w:t>
      </w:r>
    </w:p>
    <w:p>
      <w:pPr>
        <w:pStyle w:val="ListBullet"/>
        <w:spacing w:after="40"/>
      </w:pPr>
      <w:r>
        <w:rPr>
          <w:b w:val="0"/>
        </w:rPr>
      </w:r>
      <w:r>
        <w:rPr>
          <w:b/>
        </w:rPr>
        <w:t>Do not rely on price cuts.</w:t>
      </w:r>
      <w:r>
        <w:rPr>
          <w:b w:val="0"/>
        </w:rPr>
        <w:t xml:space="preserve"> With an elasticity near -0.4, a 10% price cut raises units only about 3.6%, so revenue falls. Use price for margin, not volume.</w:t>
      </w:r>
    </w:p>
    <w:p>
      <w:pPr>
        <w:pStyle w:val="ListBullet"/>
        <w:spacing w:after="40"/>
      </w:pPr>
      <w:r>
        <w:rPr>
          <w:b w:val="0"/>
        </w:rPr>
      </w:r>
      <w:r>
        <w:rPr>
          <w:b/>
        </w:rPr>
        <w:t>Do not target stores by neighbourhood or region.</w:t>
      </w:r>
      <w:r>
        <w:rPr>
          <w:b w:val="0"/>
        </w:rPr>
        <w:t xml:space="preserve"> The number of nearby natural retailers or gyms, and the region, do not predict sales once promotions are in the model; target by store traffic.</w:t>
      </w:r>
    </w:p>
    <w:p>
      <w:pPr>
        <w:pStyle w:val="ListBullet"/>
        <w:spacing w:after="40"/>
      </w:pPr>
      <w:r>
        <w:rPr>
          <w:b w:val="0"/>
        </w:rPr>
      </w:r>
      <w:r>
        <w:rPr>
          <w:b/>
        </w:rPr>
        <w:t>Close the data gaps.</w:t>
      </w:r>
      <w:r>
        <w:rPr>
          <w:b w:val="0"/>
        </w:rPr>
        <w:t xml:space="preserve"> Record store traffic, display execution and competitor activity, add endcap tests in non-rep stores, and extend tracking beyond 11 weeks to see when the demo effect fades.</w:t>
      </w:r>
    </w:p>
    <w:p>
      <w:r>
        <w:rPr>
          <w:b w:val="0"/>
          <w:i w:val="0"/>
        </w:rPr>
      </w:r>
      <w:r>
        <w:rPr>
          <w:b/>
          <w:i w:val="0"/>
        </w:rPr>
        <w:t>Limitations.</w:t>
      </w:r>
      <w:r>
        <w:rPr>
          <w:b w:val="0"/>
          <w:i w:val="0"/>
        </w:rPr>
        <w:t xml:space="preserve"> Observational data, 11 weeks, one retailer, only 53 endcap store-weeks (and only 17 without a rep), and non-random assignment of demos, endcaps and reps. The direction of the findings is clear; the exact magnitudes are less certain.</w:t>
      </w:r>
    </w:p>
    <w:p>
      <w:r>
        <w:br w:type="page"/>
      </w:r>
    </w:p>
    <w:p>
      <w:pPr>
        <w:pStyle w:val="Heading1"/>
      </w:pPr>
      <w:r>
        <w:t>Appendix A. Supporting Results</w:t>
      </w:r>
    </w:p>
    <w:p>
      <w:pPr>
        <w:pStyle w:val="Heading2"/>
      </w:pPr>
      <w:r>
        <w:t>A1. Model 1 plus the Endcap × Rep interaction (all variables kept)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744"/>
            <w:shd w:val="clear" w:color="auto" w:fill="1F4E79"/>
          </w:tcPr>
          <w:p>
            <w:pPr>
              <w:spacing w:after="0"/>
            </w:pPr>
            <w:r/>
            <w:r>
              <w:rPr>
                <w:b/>
                <w:color w:val="FFFFFF"/>
                <w:sz w:val="19"/>
              </w:rPr>
              <w:t>Variable</w:t>
            </w:r>
          </w:p>
        </w:tc>
        <w:tc>
          <w:tcPr>
            <w:tcW w:type="dxa" w:w="2016"/>
            <w:shd w:val="clear" w:color="auto" w:fill="1F4E79"/>
          </w:tcPr>
          <w:p>
            <w:pPr>
              <w:spacing w:after="0"/>
              <w:jc w:val="center"/>
            </w:pPr>
            <w:r/>
            <w:r>
              <w:rPr>
                <w:b/>
                <w:color w:val="FFFFFF"/>
                <w:sz w:val="19"/>
              </w:rPr>
              <w:t>Coef.</w:t>
            </w:r>
          </w:p>
        </w:tc>
        <w:tc>
          <w:tcPr>
            <w:tcW w:type="dxa" w:w="1440"/>
            <w:shd w:val="clear" w:color="auto" w:fill="1F4E79"/>
          </w:tcPr>
          <w:p>
            <w:pPr>
              <w:spacing w:after="0"/>
              <w:jc w:val="center"/>
            </w:pPr>
            <w:r/>
            <w:r>
              <w:rPr>
                <w:b/>
                <w:color w:val="FFFFFF"/>
                <w:sz w:val="19"/>
              </w:rPr>
              <w:t>Std. err.</w:t>
            </w:r>
          </w:p>
        </w:tc>
        <w:tc>
          <w:tcPr>
            <w:tcW w:type="dxa" w:w="1440"/>
            <w:shd w:val="clear" w:color="auto" w:fill="1F4E79"/>
          </w:tcPr>
          <w:p>
            <w:pPr>
              <w:spacing w:after="0"/>
              <w:jc w:val="center"/>
            </w:pPr>
            <w:r/>
            <w:r>
              <w:rPr>
                <w:b/>
                <w:color w:val="FFFFFF"/>
                <w:sz w:val="19"/>
              </w:rPr>
              <w:t>p-value</w:t>
            </w:r>
          </w:p>
        </w:tc>
      </w:tr>
      <w:tr>
        <w:tc>
          <w:tcPr>
            <w:tcW w:type="dxa" w:w="3744"/>
          </w:tcPr>
          <w:p>
            <w:pPr>
              <w:spacing w:after="0"/>
            </w:pPr>
            <w:r/>
            <w:r>
              <w:rPr>
                <w:sz w:val="19"/>
              </w:rPr>
              <w:t>Intercept</w:t>
            </w:r>
          </w:p>
        </w:tc>
        <w:tc>
          <w:tcPr>
            <w:tcW w:type="dxa" w:w="2016"/>
          </w:tcPr>
          <w:p>
            <w:pPr>
              <w:spacing w:after="0"/>
              <w:jc w:val="center"/>
            </w:pPr>
            <w:r/>
            <w:r>
              <w:rPr>
                <w:sz w:val="19"/>
              </w:rPr>
              <w:t>275.86***</w:t>
            </w:r>
          </w:p>
        </w:tc>
        <w:tc>
          <w:tcPr>
            <w:tcW w:type="dxa" w:w="1440"/>
          </w:tcPr>
          <w:p>
            <w:pPr>
              <w:spacing w:after="0"/>
              <w:jc w:val="center"/>
            </w:pPr>
            <w:r/>
            <w:r>
              <w:rPr>
                <w:sz w:val="19"/>
              </w:rPr>
              <w:t>12.49</w:t>
            </w:r>
          </w:p>
        </w:tc>
        <w:tc>
          <w:tcPr>
            <w:tcW w:type="dxa" w:w="1440"/>
          </w:tcPr>
          <w:p>
            <w:pPr>
              <w:spacing w:after="0"/>
              <w:jc w:val="center"/>
            </w:pPr>
            <w:r/>
            <w:r>
              <w:rPr>
                <w:sz w:val="19"/>
              </w:rPr>
              <w:t>&lt;0.001</w:t>
            </w:r>
          </w:p>
        </w:tc>
      </w:tr>
      <w:tr>
        <w:tc>
          <w:tcPr>
            <w:tcW w:type="dxa" w:w="3744"/>
            <w:shd w:val="clear" w:color="auto" w:fill="EAF0F7"/>
          </w:tcPr>
          <w:p>
            <w:pPr>
              <w:spacing w:after="0"/>
            </w:pPr>
            <w:r/>
            <w:r>
              <w:rPr>
                <w:sz w:val="19"/>
              </w:rPr>
              <w:t>Average retail price ($)</w:t>
            </w:r>
          </w:p>
        </w:tc>
        <w:tc>
          <w:tcPr>
            <w:tcW w:type="dxa" w:w="2016"/>
            <w:shd w:val="clear" w:color="auto" w:fill="EAF0F7"/>
          </w:tcPr>
          <w:p>
            <w:pPr>
              <w:spacing w:after="0"/>
              <w:jc w:val="center"/>
            </w:pPr>
            <w:r/>
            <w:r>
              <w:rPr>
                <w:sz w:val="19"/>
              </w:rPr>
              <w:t>-22.09***</w:t>
            </w:r>
          </w:p>
        </w:tc>
        <w:tc>
          <w:tcPr>
            <w:tcW w:type="dxa" w:w="1440"/>
            <w:shd w:val="clear" w:color="auto" w:fill="EAF0F7"/>
          </w:tcPr>
          <w:p>
            <w:pPr>
              <w:spacing w:after="0"/>
              <w:jc w:val="center"/>
            </w:pPr>
            <w:r/>
            <w:r>
              <w:rPr>
                <w:sz w:val="19"/>
              </w:rPr>
              <w:t>3.05</w:t>
            </w:r>
          </w:p>
        </w:tc>
        <w:tc>
          <w:tcPr>
            <w:tcW w:type="dxa" w:w="1440"/>
            <w:shd w:val="clear" w:color="auto" w:fill="EAF0F7"/>
          </w:tcPr>
          <w:p>
            <w:pPr>
              <w:spacing w:after="0"/>
              <w:jc w:val="center"/>
            </w:pPr>
            <w:r/>
            <w:r>
              <w:rPr>
                <w:sz w:val="19"/>
              </w:rPr>
              <w:t>&lt;0.001</w:t>
            </w:r>
          </w:p>
        </w:tc>
      </w:tr>
      <w:tr>
        <w:tc>
          <w:tcPr>
            <w:tcW w:type="dxa" w:w="3744"/>
          </w:tcPr>
          <w:p>
            <w:pPr>
              <w:spacing w:after="0"/>
            </w:pPr>
            <w:r/>
            <w:r>
              <w:rPr>
                <w:sz w:val="19"/>
              </w:rPr>
              <w:t>Regional sales rep (1/0)</w:t>
            </w:r>
          </w:p>
        </w:tc>
        <w:tc>
          <w:tcPr>
            <w:tcW w:type="dxa" w:w="2016"/>
          </w:tcPr>
          <w:p>
            <w:pPr>
              <w:spacing w:after="0"/>
              <w:jc w:val="center"/>
            </w:pPr>
            <w:r/>
            <w:r>
              <w:rPr>
                <w:sz w:val="19"/>
              </w:rPr>
              <w:t>59.38***</w:t>
            </w:r>
          </w:p>
        </w:tc>
        <w:tc>
          <w:tcPr>
            <w:tcW w:type="dxa" w:w="1440"/>
          </w:tcPr>
          <w:p>
            <w:pPr>
              <w:spacing w:after="0"/>
              <w:jc w:val="center"/>
            </w:pPr>
            <w:r/>
            <w:r>
              <w:rPr>
                <w:sz w:val="19"/>
              </w:rPr>
              <w:t>3.03</w:t>
            </w:r>
          </w:p>
        </w:tc>
        <w:tc>
          <w:tcPr>
            <w:tcW w:type="dxa" w:w="1440"/>
          </w:tcPr>
          <w:p>
            <w:pPr>
              <w:spacing w:after="0"/>
              <w:jc w:val="center"/>
            </w:pPr>
            <w:r/>
            <w:r>
              <w:rPr>
                <w:sz w:val="19"/>
              </w:rPr>
              <w:t>&lt;0.001</w:t>
            </w:r>
          </w:p>
        </w:tc>
      </w:tr>
      <w:tr>
        <w:tc>
          <w:tcPr>
            <w:tcW w:type="dxa" w:w="3744"/>
            <w:shd w:val="clear" w:color="auto" w:fill="EAF0F7"/>
          </w:tcPr>
          <w:p>
            <w:pPr>
              <w:spacing w:after="0"/>
            </w:pPr>
            <w:r/>
            <w:r>
              <w:rPr>
                <w:sz w:val="19"/>
              </w:rPr>
              <w:t>Endcap promotion (1/0)</w:t>
            </w:r>
          </w:p>
        </w:tc>
        <w:tc>
          <w:tcPr>
            <w:tcW w:type="dxa" w:w="2016"/>
            <w:shd w:val="clear" w:color="auto" w:fill="EAF0F7"/>
          </w:tcPr>
          <w:p>
            <w:pPr>
              <w:spacing w:after="0"/>
              <w:jc w:val="center"/>
            </w:pPr>
            <w:r/>
            <w:r>
              <w:rPr>
                <w:sz w:val="19"/>
              </w:rPr>
              <w:t>0.47</w:t>
            </w:r>
          </w:p>
        </w:tc>
        <w:tc>
          <w:tcPr>
            <w:tcW w:type="dxa" w:w="1440"/>
            <w:shd w:val="clear" w:color="auto" w:fill="EAF0F7"/>
          </w:tcPr>
          <w:p>
            <w:pPr>
              <w:spacing w:after="0"/>
              <w:jc w:val="center"/>
            </w:pPr>
            <w:r/>
            <w:r>
              <w:rPr>
                <w:sz w:val="19"/>
              </w:rPr>
              <w:t>12.12</w:t>
            </w:r>
          </w:p>
        </w:tc>
        <w:tc>
          <w:tcPr>
            <w:tcW w:type="dxa" w:w="1440"/>
            <w:shd w:val="clear" w:color="auto" w:fill="EAF0F7"/>
          </w:tcPr>
          <w:p>
            <w:pPr>
              <w:spacing w:after="0"/>
              <w:jc w:val="center"/>
            </w:pPr>
            <w:r/>
            <w:r>
              <w:rPr>
                <w:sz w:val="19"/>
              </w:rPr>
              <w:t>0.969</w:t>
            </w:r>
          </w:p>
        </w:tc>
      </w:tr>
      <w:tr>
        <w:tc>
          <w:tcPr>
            <w:tcW w:type="dxa" w:w="3744"/>
          </w:tcPr>
          <w:p>
            <w:pPr>
              <w:spacing w:after="0"/>
            </w:pPr>
            <w:r/>
            <w:r>
              <w:rPr>
                <w:sz w:val="19"/>
              </w:rPr>
              <w:t>Demo this week (1/0)</w:t>
            </w:r>
          </w:p>
        </w:tc>
        <w:tc>
          <w:tcPr>
            <w:tcW w:type="dxa" w:w="2016"/>
          </w:tcPr>
          <w:p>
            <w:pPr>
              <w:spacing w:after="0"/>
              <w:jc w:val="center"/>
            </w:pPr>
            <w:r/>
            <w:r>
              <w:rPr>
                <w:sz w:val="19"/>
              </w:rPr>
              <w:t>106.77***</w:t>
            </w:r>
          </w:p>
        </w:tc>
        <w:tc>
          <w:tcPr>
            <w:tcW w:type="dxa" w:w="1440"/>
          </w:tcPr>
          <w:p>
            <w:pPr>
              <w:spacing w:after="0"/>
              <w:jc w:val="center"/>
            </w:pPr>
            <w:r/>
            <w:r>
              <w:rPr>
                <w:sz w:val="19"/>
              </w:rPr>
              <w:t>5.71</w:t>
            </w:r>
          </w:p>
        </w:tc>
        <w:tc>
          <w:tcPr>
            <w:tcW w:type="dxa" w:w="1440"/>
          </w:tcPr>
          <w:p>
            <w:pPr>
              <w:spacing w:after="0"/>
              <w:jc w:val="center"/>
            </w:pPr>
            <w:r/>
            <w:r>
              <w:rPr>
                <w:sz w:val="19"/>
              </w:rPr>
              <w:t>&lt;0.001</w:t>
            </w:r>
          </w:p>
        </w:tc>
      </w:tr>
      <w:tr>
        <w:tc>
          <w:tcPr>
            <w:tcW w:type="dxa" w:w="3744"/>
            <w:shd w:val="clear" w:color="auto" w:fill="EAF0F7"/>
          </w:tcPr>
          <w:p>
            <w:pPr>
              <w:spacing w:after="0"/>
            </w:pPr>
            <w:r/>
            <w:r>
              <w:rPr>
                <w:sz w:val="19"/>
              </w:rPr>
              <w:t>Demo 1-3 weeks ago (1/0)</w:t>
            </w:r>
          </w:p>
        </w:tc>
        <w:tc>
          <w:tcPr>
            <w:tcW w:type="dxa" w:w="2016"/>
            <w:shd w:val="clear" w:color="auto" w:fill="EAF0F7"/>
          </w:tcPr>
          <w:p>
            <w:pPr>
              <w:spacing w:after="0"/>
              <w:jc w:val="center"/>
            </w:pPr>
            <w:r/>
            <w:r>
              <w:rPr>
                <w:sz w:val="19"/>
              </w:rPr>
              <w:t>73.39***</w:t>
            </w:r>
          </w:p>
        </w:tc>
        <w:tc>
          <w:tcPr>
            <w:tcW w:type="dxa" w:w="1440"/>
            <w:shd w:val="clear" w:color="auto" w:fill="EAF0F7"/>
          </w:tcPr>
          <w:p>
            <w:pPr>
              <w:spacing w:after="0"/>
              <w:jc w:val="center"/>
            </w:pPr>
            <w:r/>
            <w:r>
              <w:rPr>
                <w:sz w:val="19"/>
              </w:rPr>
              <w:t>3.77</w:t>
            </w:r>
          </w:p>
        </w:tc>
        <w:tc>
          <w:tcPr>
            <w:tcW w:type="dxa" w:w="1440"/>
            <w:shd w:val="clear" w:color="auto" w:fill="EAF0F7"/>
          </w:tcPr>
          <w:p>
            <w:pPr>
              <w:spacing w:after="0"/>
              <w:jc w:val="center"/>
            </w:pPr>
            <w:r/>
            <w:r>
              <w:rPr>
                <w:sz w:val="19"/>
              </w:rPr>
              <w:t>&lt;0.001</w:t>
            </w:r>
          </w:p>
        </w:tc>
      </w:tr>
      <w:tr>
        <w:tc>
          <w:tcPr>
            <w:tcW w:type="dxa" w:w="3744"/>
          </w:tcPr>
          <w:p>
            <w:pPr>
              <w:spacing w:after="0"/>
            </w:pPr>
            <w:r/>
            <w:r>
              <w:rPr>
                <w:sz w:val="19"/>
              </w:rPr>
              <w:t>Demo 4-5+ weeks ago (1/0)</w:t>
            </w:r>
          </w:p>
        </w:tc>
        <w:tc>
          <w:tcPr>
            <w:tcW w:type="dxa" w:w="2016"/>
          </w:tcPr>
          <w:p>
            <w:pPr>
              <w:spacing w:after="0"/>
              <w:jc w:val="center"/>
            </w:pPr>
            <w:r/>
            <w:r>
              <w:rPr>
                <w:sz w:val="19"/>
              </w:rPr>
              <w:t>74.58***</w:t>
            </w:r>
          </w:p>
        </w:tc>
        <w:tc>
          <w:tcPr>
            <w:tcW w:type="dxa" w:w="1440"/>
          </w:tcPr>
          <w:p>
            <w:pPr>
              <w:spacing w:after="0"/>
              <w:jc w:val="center"/>
            </w:pPr>
            <w:r/>
            <w:r>
              <w:rPr>
                <w:sz w:val="19"/>
              </w:rPr>
              <w:t>5.04</w:t>
            </w:r>
          </w:p>
        </w:tc>
        <w:tc>
          <w:tcPr>
            <w:tcW w:type="dxa" w:w="1440"/>
          </w:tcPr>
          <w:p>
            <w:pPr>
              <w:spacing w:after="0"/>
              <w:jc w:val="center"/>
            </w:pPr>
            <w:r/>
            <w:r>
              <w:rPr>
                <w:sz w:val="19"/>
              </w:rPr>
              <w:t>&lt;0.001</w:t>
            </w:r>
          </w:p>
        </w:tc>
      </w:tr>
      <w:tr>
        <w:tc>
          <w:tcPr>
            <w:tcW w:type="dxa" w:w="3744"/>
            <w:shd w:val="clear" w:color="auto" w:fill="EAF0F7"/>
          </w:tcPr>
          <w:p>
            <w:pPr>
              <w:spacing w:after="0"/>
            </w:pPr>
            <w:r/>
            <w:r>
              <w:rPr>
                <w:sz w:val="19"/>
              </w:rPr>
              <w:t>Natural retailers within 5 mi</w:t>
            </w:r>
          </w:p>
        </w:tc>
        <w:tc>
          <w:tcPr>
            <w:tcW w:type="dxa" w:w="2016"/>
            <w:shd w:val="clear" w:color="auto" w:fill="EAF0F7"/>
          </w:tcPr>
          <w:p>
            <w:pPr>
              <w:spacing w:after="0"/>
              <w:jc w:val="center"/>
            </w:pPr>
            <w:r/>
            <w:r>
              <w:rPr>
                <w:sz w:val="19"/>
              </w:rPr>
              <w:t>0.21</w:t>
            </w:r>
          </w:p>
        </w:tc>
        <w:tc>
          <w:tcPr>
            <w:tcW w:type="dxa" w:w="1440"/>
            <w:shd w:val="clear" w:color="auto" w:fill="EAF0F7"/>
          </w:tcPr>
          <w:p>
            <w:pPr>
              <w:spacing w:after="0"/>
              <w:jc w:val="center"/>
            </w:pPr>
            <w:r/>
            <w:r>
              <w:rPr>
                <w:sz w:val="19"/>
              </w:rPr>
              <w:t>1.37</w:t>
            </w:r>
          </w:p>
        </w:tc>
        <w:tc>
          <w:tcPr>
            <w:tcW w:type="dxa" w:w="1440"/>
            <w:shd w:val="clear" w:color="auto" w:fill="EAF0F7"/>
          </w:tcPr>
          <w:p>
            <w:pPr>
              <w:spacing w:after="0"/>
              <w:jc w:val="center"/>
            </w:pPr>
            <w:r/>
            <w:r>
              <w:rPr>
                <w:sz w:val="19"/>
              </w:rPr>
              <w:t>0.876</w:t>
            </w:r>
          </w:p>
        </w:tc>
      </w:tr>
      <w:tr>
        <w:tc>
          <w:tcPr>
            <w:tcW w:type="dxa" w:w="3744"/>
          </w:tcPr>
          <w:p>
            <w:pPr>
              <w:spacing w:after="0"/>
            </w:pPr>
            <w:r/>
            <w:r>
              <w:rPr>
                <w:sz w:val="19"/>
              </w:rPr>
              <w:t>Fitness centres within 5 mi</w:t>
            </w:r>
          </w:p>
        </w:tc>
        <w:tc>
          <w:tcPr>
            <w:tcW w:type="dxa" w:w="2016"/>
          </w:tcPr>
          <w:p>
            <w:pPr>
              <w:spacing w:after="0"/>
              <w:jc w:val="center"/>
            </w:pPr>
            <w:r/>
            <w:r>
              <w:rPr>
                <w:sz w:val="19"/>
              </w:rPr>
              <w:t>0.22</w:t>
            </w:r>
          </w:p>
        </w:tc>
        <w:tc>
          <w:tcPr>
            <w:tcW w:type="dxa" w:w="1440"/>
          </w:tcPr>
          <w:p>
            <w:pPr>
              <w:spacing w:after="0"/>
              <w:jc w:val="center"/>
            </w:pPr>
            <w:r/>
            <w:r>
              <w:rPr>
                <w:sz w:val="19"/>
              </w:rPr>
              <w:t>0.84</w:t>
            </w:r>
          </w:p>
        </w:tc>
        <w:tc>
          <w:tcPr>
            <w:tcW w:type="dxa" w:w="1440"/>
          </w:tcPr>
          <w:p>
            <w:pPr>
              <w:spacing w:after="0"/>
              <w:jc w:val="center"/>
            </w:pPr>
            <w:r/>
            <w:r>
              <w:rPr>
                <w:sz w:val="19"/>
              </w:rPr>
              <w:t>0.796</w:t>
            </w:r>
          </w:p>
        </w:tc>
      </w:tr>
      <w:tr>
        <w:tc>
          <w:tcPr>
            <w:tcW w:type="dxa" w:w="3744"/>
            <w:shd w:val="clear" w:color="auto" w:fill="EAF0F7"/>
          </w:tcPr>
          <w:p>
            <w:pPr>
              <w:spacing w:after="0"/>
            </w:pPr>
            <w:r/>
            <w:r>
              <w:rPr>
                <w:sz w:val="19"/>
              </w:rPr>
              <w:t>Endcap × Rep (1 only if both)</w:t>
            </w:r>
          </w:p>
        </w:tc>
        <w:tc>
          <w:tcPr>
            <w:tcW w:type="dxa" w:w="2016"/>
            <w:shd w:val="clear" w:color="auto" w:fill="EAF0F7"/>
          </w:tcPr>
          <w:p>
            <w:pPr>
              <w:spacing w:after="0"/>
              <w:jc w:val="center"/>
            </w:pPr>
            <w:r/>
            <w:r>
              <w:rPr>
                <w:sz w:val="19"/>
              </w:rPr>
              <w:t>454.06***</w:t>
            </w:r>
          </w:p>
        </w:tc>
        <w:tc>
          <w:tcPr>
            <w:tcW w:type="dxa" w:w="1440"/>
            <w:shd w:val="clear" w:color="auto" w:fill="EAF0F7"/>
          </w:tcPr>
          <w:p>
            <w:pPr>
              <w:spacing w:after="0"/>
              <w:jc w:val="center"/>
            </w:pPr>
            <w:r/>
            <w:r>
              <w:rPr>
                <w:sz w:val="19"/>
              </w:rPr>
              <w:t>14.78</w:t>
            </w:r>
          </w:p>
        </w:tc>
        <w:tc>
          <w:tcPr>
            <w:tcW w:type="dxa" w:w="1440"/>
            <w:shd w:val="clear" w:color="auto" w:fill="EAF0F7"/>
          </w:tcPr>
          <w:p>
            <w:pPr>
              <w:spacing w:after="0"/>
              <w:jc w:val="center"/>
            </w:pPr>
            <w:r/>
            <w:r>
              <w:rPr>
                <w:sz w:val="19"/>
              </w:rPr>
              <w:t>&lt;0.001</w:t>
            </w:r>
          </w:p>
        </w:tc>
      </w:tr>
      <w:tr>
        <w:tc>
          <w:tcPr>
            <w:tcW w:type="dxa" w:w="3744"/>
          </w:tcPr>
          <w:p>
            <w:pPr>
              <w:spacing w:after="0"/>
            </w:pPr>
            <w:r/>
            <w:r>
              <w:rPr>
                <w:sz w:val="19"/>
              </w:rPr>
              <w:t>R² / adj. R²</w:t>
            </w:r>
          </w:p>
        </w:tc>
        <w:tc>
          <w:tcPr>
            <w:tcW w:type="dxa" w:w="2016"/>
          </w:tcPr>
          <w:p>
            <w:pPr>
              <w:spacing w:after="0"/>
              <w:jc w:val="center"/>
            </w:pPr>
            <w:r/>
            <w:r>
              <w:rPr>
                <w:sz w:val="19"/>
              </w:rPr>
              <w:t>0.806 / 0.805</w:t>
            </w:r>
          </w:p>
        </w:tc>
        <w:tc>
          <w:tcPr>
            <w:tcW w:type="dxa" w:w="1440"/>
          </w:tcPr>
          <w:p>
            <w:pPr>
              <w:spacing w:after="0"/>
              <w:jc w:val="center"/>
            </w:pPr>
            <w:r/>
            <w:r>
              <w:rPr>
                <w:sz w:val="19"/>
              </w:rPr>
            </w:r>
          </w:p>
        </w:tc>
        <w:tc>
          <w:tcPr>
            <w:tcW w:type="dxa" w:w="1440"/>
          </w:tcPr>
          <w:p>
            <w:pPr>
              <w:spacing w:after="0"/>
              <w:jc w:val="center"/>
            </w:pPr>
            <w:r/>
            <w:r>
              <w:rPr>
                <w:sz w:val="19"/>
              </w:rPr>
            </w:r>
          </w:p>
        </w:tc>
      </w:tr>
    </w:tbl>
    <w:p>
      <w:pPr>
        <w:spacing w:after="40"/>
      </w:pPr>
    </w:p>
    <w:p>
      <w:r>
        <w:rPr>
          <w:b w:val="0"/>
          <w:i/>
          <w:sz w:val="20"/>
        </w:rPr>
        <w:t>With the interaction in the model, the plain Endcap coefficient is essentially zero (p = 0.97), as are Natural and Fitness. This is why stepwise removes them.</w:t>
      </w:r>
    </w:p>
    <w:p>
      <w:pPr>
        <w:keepNext/>
        <w:jc w:val="center"/>
      </w:pPr>
      <w:r>
        <w:drawing>
          <wp:inline xmlns:a="http://schemas.openxmlformats.org/drawingml/2006/main" xmlns:pic="http://schemas.openxmlformats.org/drawingml/2006/picture">
            <wp:extent cx="3840480" cy="1920240"/>
            <wp:docPr id="7" name="Picture 7"/>
            <wp:cNvGraphicFramePr>
              <a:graphicFrameLocks noChangeAspect="1"/>
            </wp:cNvGraphicFramePr>
            <a:graphic>
              <a:graphicData uri="http://schemas.openxmlformats.org/drawingml/2006/picture">
                <pic:pic>
                  <pic:nvPicPr>
                    <pic:cNvPr id="0" name="time.png"/>
                    <pic:cNvPicPr/>
                  </pic:nvPicPr>
                  <pic:blipFill>
                    <a:blip r:embed="rId15"/>
                    <a:stretch>
                      <a:fillRect/>
                    </a:stretch>
                  </pic:blipFill>
                  <pic:spPr>
                    <a:xfrm>
                      <a:off x="0" y="0"/>
                      <a:ext cx="3840480" cy="1920240"/>
                    </a:xfrm>
                    <a:prstGeom prst="rect"/>
                  </pic:spPr>
                </pic:pic>
              </a:graphicData>
            </a:graphic>
          </wp:inline>
        </w:drawing>
      </w:r>
    </w:p>
    <w:p>
      <w:pPr>
        <w:jc w:val="center"/>
      </w:pPr>
      <w:r>
        <w:rPr>
          <w:b w:val="0"/>
          <w:i/>
          <w:sz w:val="19"/>
        </w:rPr>
        <w:t>Figure A1. Average weekly units per store over the 11 weeks.</w:t>
      </w:r>
    </w:p>
    <w:p>
      <w:r>
        <w:rPr>
          <w:b w:val="0"/>
          <w:i/>
          <w:sz w:val="19"/>
        </w:rPr>
        <w:t xml:space="preserve">Significance: * p&lt;0.05, </w:t>
      </w:r>
      <w:r>
        <w:rPr>
          <w:b/>
          <w:i/>
          <w:sz w:val="19"/>
        </w:rPr>
        <w:t xml:space="preserve"> p&lt;0.01, </w:t>
      </w:r>
      <w:r>
        <w:rPr>
          <w:b w:val="0"/>
          <w:i/>
          <w:sz w:val="19"/>
        </w:rPr>
        <w:t>* p&lt;0.001. Supporting files in the submission folder: GoodBelly_Analysis.xlsx (data, coefficient tables, diagnostics), analysis.py and fig/ (code and charts).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