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İSTANBUL TOPKAPI ÜNİVERSİTESİ</w:t>
      </w:r>
    </w:p>
    <w:p/>
    <w:p>
      <w:pPr>
        <w:jc w:val="center"/>
      </w:pPr>
      <w:r>
        <w:rPr>
          <w:rFonts w:ascii="Times New Roman" w:hAnsi="Times New Roman"/>
          <w:b/>
          <w:sz w:val="32"/>
        </w:rPr>
        <w:t>DERİN ÖĞRENME</w:t>
        <w:br/>
        <w:t>ARASINAV ÖDEVİ</w:t>
      </w:r>
    </w:p>
    <w:p/>
    <w:p/>
    <w:p>
      <w:pPr>
        <w:jc w:val="center"/>
      </w:pPr>
      <w:r>
        <w:rPr>
          <w:rFonts w:ascii="Times New Roman" w:hAnsi="Times New Roman"/>
          <w:sz w:val="28"/>
        </w:rPr>
        <w:t>Face Mask Detection</w:t>
        <w:br/>
        <w:t>DenseNet121 &amp; MobileNetV1 ile Transfer Learning</w:t>
      </w:r>
    </w:p>
    <w:p/>
    <w:p/>
    <w:p/>
    <w:p/>
    <w:p>
      <w:pPr>
        <w:jc w:val="center"/>
      </w:pPr>
      <w:r>
        <w:rPr>
          <w:sz w:val="26"/>
        </w:rPr>
        <w:t>Öğrenci: Ali Kemal Kefelioğlu</w:t>
      </w:r>
    </w:p>
    <w:p>
      <w:pPr>
        <w:jc w:val="center"/>
      </w:pPr>
      <w:r>
        <w:rPr>
          <w:sz w:val="24"/>
        </w:rPr>
        <w:t>2024-2025 Bahar Dönemi</w:t>
      </w:r>
    </w:p>
    <w:p>
      <w:pPr>
        <w:jc w:val="center"/>
      </w:pPr>
      <w:r>
        <w:rPr>
          <w:sz w:val="22"/>
        </w:rPr>
        <w:br/>
        <w:t>GitHub: https://github.com/akkefelioglu/derin-ogrenme</w:t>
      </w:r>
    </w:p>
    <w:p>
      <w:r>
        <w:br w:type="page"/>
      </w:r>
    </w:p>
    <w:p>
      <w:pPr>
        <w:pStyle w:val="Heading1"/>
      </w:pPr>
      <w:r>
        <w:t>1. Giriş</w:t>
      </w:r>
    </w:p>
    <w:p>
      <w:r>
        <w:t>Bu çalışmada, COVID-19 pandemisi sürecinde önem kazanan yüz maskesi tespiti problemi ele alınmıştır. Transfer learning yöntemi kullanılarak DenseNet121 ve MobileNetV1 önceden eğitilmiş (pre-trained) modelleri ile ikili sınıflandırma (maskeli/maskesiz) görevi gerçekleştirilmiştir.</w:t>
      </w:r>
    </w:p>
    <w:p>
      <w:r>
        <w:t>Çalışmada Kaggle platformundaki Face Mask Detection Dataset kullanılmış olup, modellerin performansı Accuracy, Precision, Recall, Specificity, F1-Score, ROC eğrisi ve AUC metrikleri ile değerlendirilmiştir.</w:t>
      </w:r>
    </w:p>
    <w:p>
      <w:pPr>
        <w:pStyle w:val="Heading1"/>
      </w:pPr>
      <w:r>
        <w:t>2. Veri Seti</w:t>
      </w:r>
    </w:p>
    <w:p>
      <w:r>
        <w:t>Kaggle platformunda yer alan "Face Mask Detection Dataset" kullanılmıştır.</w:t>
      </w:r>
    </w:p>
    <w:p>
      <w:r>
        <w:rPr>
          <w:b/>
        </w:rPr>
        <w:t xml:space="preserve">Kaynak: </w:t>
      </w:r>
      <w:r>
        <w:t>https://www.kaggle.com/datasets/omkargurav/face-mask-dataset</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Set</w:t>
            </w:r>
          </w:p>
        </w:tc>
        <w:tc>
          <w:tcPr>
            <w:tcW w:type="dxa" w:w="2351"/>
          </w:tcPr>
          <w:p>
            <w:r>
              <w:rPr>
                <w:b/>
              </w:rPr>
              <w:t>Maskeli</w:t>
            </w:r>
          </w:p>
        </w:tc>
        <w:tc>
          <w:tcPr>
            <w:tcW w:type="dxa" w:w="2351"/>
          </w:tcPr>
          <w:p>
            <w:r>
              <w:rPr>
                <w:b/>
              </w:rPr>
              <w:t>Maskesiz</w:t>
            </w:r>
          </w:p>
        </w:tc>
        <w:tc>
          <w:tcPr>
            <w:tcW w:type="dxa" w:w="2351"/>
          </w:tcPr>
          <w:p>
            <w:r>
              <w:rPr>
                <w:b/>
              </w:rPr>
              <w:t>Toplam</w:t>
            </w:r>
          </w:p>
        </w:tc>
      </w:tr>
      <w:tr>
        <w:tc>
          <w:tcPr>
            <w:tcW w:type="dxa" w:w="2351"/>
          </w:tcPr>
          <w:p>
            <w:r>
              <w:t>Eğitim</w:t>
            </w:r>
          </w:p>
        </w:tc>
        <w:tc>
          <w:tcPr>
            <w:tcW w:type="dxa" w:w="2351"/>
          </w:tcPr>
          <w:p>
            <w:r>
              <w:t>2392</w:t>
            </w:r>
          </w:p>
        </w:tc>
        <w:tc>
          <w:tcPr>
            <w:tcW w:type="dxa" w:w="2351"/>
          </w:tcPr>
          <w:p>
            <w:r>
              <w:t>2441</w:t>
            </w:r>
          </w:p>
        </w:tc>
        <w:tc>
          <w:tcPr>
            <w:tcW w:type="dxa" w:w="2351"/>
          </w:tcPr>
          <w:p>
            <w:r>
              <w:t>4833</w:t>
            </w:r>
          </w:p>
        </w:tc>
      </w:tr>
      <w:tr>
        <w:tc>
          <w:tcPr>
            <w:tcW w:type="dxa" w:w="2351"/>
          </w:tcPr>
          <w:p>
            <w:r>
              <w:t>Validasyon</w:t>
            </w:r>
          </w:p>
        </w:tc>
        <w:tc>
          <w:tcPr>
            <w:tcW w:type="dxa" w:w="2351"/>
          </w:tcPr>
          <w:p>
            <w:r>
              <w:t>598</w:t>
            </w:r>
          </w:p>
        </w:tc>
        <w:tc>
          <w:tcPr>
            <w:tcW w:type="dxa" w:w="2351"/>
          </w:tcPr>
          <w:p>
            <w:r>
              <w:t>611</w:t>
            </w:r>
          </w:p>
        </w:tc>
        <w:tc>
          <w:tcPr>
            <w:tcW w:type="dxa" w:w="2351"/>
          </w:tcPr>
          <w:p>
            <w:r>
              <w:t>1209</w:t>
            </w:r>
          </w:p>
        </w:tc>
      </w:tr>
      <w:tr>
        <w:tc>
          <w:tcPr>
            <w:tcW w:type="dxa" w:w="2351"/>
          </w:tcPr>
          <w:p>
            <w:r>
              <w:t>Test</w:t>
            </w:r>
          </w:p>
        </w:tc>
        <w:tc>
          <w:tcPr>
            <w:tcW w:type="dxa" w:w="2351"/>
          </w:tcPr>
          <w:p>
            <w:r>
              <w:t>745</w:t>
            </w:r>
          </w:p>
        </w:tc>
        <w:tc>
          <w:tcPr>
            <w:tcW w:type="dxa" w:w="2351"/>
          </w:tcPr>
          <w:p>
            <w:r>
              <w:t>766</w:t>
            </w:r>
          </w:p>
        </w:tc>
        <w:tc>
          <w:tcPr>
            <w:tcW w:type="dxa" w:w="2351"/>
          </w:tcPr>
          <w:p>
            <w:r>
              <w:t>1511</w:t>
            </w:r>
          </w:p>
        </w:tc>
      </w:tr>
      <w:tr>
        <w:tc>
          <w:tcPr>
            <w:tcW w:type="dxa" w:w="2351"/>
          </w:tcPr>
          <w:p>
            <w:r>
              <w:t>Toplam</w:t>
            </w:r>
          </w:p>
        </w:tc>
        <w:tc>
          <w:tcPr>
            <w:tcW w:type="dxa" w:w="2351"/>
          </w:tcPr>
          <w:p>
            <w:r>
              <w:t>3735</w:t>
            </w:r>
          </w:p>
        </w:tc>
        <w:tc>
          <w:tcPr>
            <w:tcW w:type="dxa" w:w="2351"/>
          </w:tcPr>
          <w:p>
            <w:r>
              <w:t>3818</w:t>
            </w:r>
          </w:p>
        </w:tc>
        <w:tc>
          <w:tcPr>
            <w:tcW w:type="dxa" w:w="2351"/>
          </w:tcPr>
          <w:p>
            <w:r>
              <w:t>7553</w:t>
            </w:r>
          </w:p>
        </w:tc>
      </w:tr>
    </w:tbl>
    <w:p/>
    <w:p>
      <w:pPr>
        <w:jc w:val="center"/>
      </w:pPr>
      <w:r>
        <w:rPr>
          <w:i/>
          <w:sz w:val="20"/>
        </w:rPr>
        <w:t>Tablo 1: Veri Seti Bölümleme Detayları</w:t>
      </w:r>
    </w:p>
    <w:p>
      <w:r>
        <w:br/>
        <w:t>Veri seti toplamda 7553 görüntüden oluşmaktadır. Toplam verinin %20'si test seti olarak ayrılmış, kalan %80 eğitim ve validasyon için kullanılmıştır. Eğitim+validasyon verisi %80 eğitim, %20 validasyon olarak bölünmüştür.</w:t>
      </w:r>
    </w:p>
    <w:p>
      <w:pPr>
        <w:jc w:val="center"/>
      </w:pPr>
      <w:r>
        <w:drawing>
          <wp:inline xmlns:a="http://schemas.openxmlformats.org/drawingml/2006/main" xmlns:pic="http://schemas.openxmlformats.org/drawingml/2006/picture">
            <wp:extent cx="5029200" cy="3119377"/>
            <wp:docPr id="1" name="Picture 1"/>
            <wp:cNvGraphicFramePr>
              <a:graphicFrameLocks noChangeAspect="1"/>
            </wp:cNvGraphicFramePr>
            <a:graphic>
              <a:graphicData uri="http://schemas.openxmlformats.org/drawingml/2006/picture">
                <pic:pic>
                  <pic:nvPicPr>
                    <pic:cNvPr id="0" name="cell_09_img_00.png"/>
                    <pic:cNvPicPr/>
                  </pic:nvPicPr>
                  <pic:blipFill>
                    <a:blip r:embed="rId9"/>
                    <a:stretch>
                      <a:fillRect/>
                    </a:stretch>
                  </pic:blipFill>
                  <pic:spPr>
                    <a:xfrm>
                      <a:off x="0" y="0"/>
                      <a:ext cx="5029200" cy="3119377"/>
                    </a:xfrm>
                    <a:prstGeom prst="rect"/>
                  </pic:spPr>
                </pic:pic>
              </a:graphicData>
            </a:graphic>
          </wp:inline>
        </w:drawing>
      </w:r>
    </w:p>
    <w:p>
      <w:pPr>
        <w:jc w:val="center"/>
      </w:pPr>
      <w:r>
        <w:rPr>
          <w:i/>
          <w:sz w:val="20"/>
        </w:rPr>
        <w:t>Şekil 1: Veri Seti Sınıf Dağılımı</w:t>
      </w:r>
    </w:p>
    <w:p/>
    <w:p>
      <w:pPr>
        <w:jc w:val="center"/>
      </w:pPr>
      <w:r>
        <w:drawing>
          <wp:inline xmlns:a="http://schemas.openxmlformats.org/drawingml/2006/main" xmlns:pic="http://schemas.openxmlformats.org/drawingml/2006/picture">
            <wp:extent cx="5486400" cy="2378462"/>
            <wp:docPr id="2" name="Picture 2"/>
            <wp:cNvGraphicFramePr>
              <a:graphicFrameLocks noChangeAspect="1"/>
            </wp:cNvGraphicFramePr>
            <a:graphic>
              <a:graphicData uri="http://schemas.openxmlformats.org/drawingml/2006/picture">
                <pic:pic>
                  <pic:nvPicPr>
                    <pic:cNvPr id="0" name="cell_12_img_01.png"/>
                    <pic:cNvPicPr/>
                  </pic:nvPicPr>
                  <pic:blipFill>
                    <a:blip r:embed="rId10"/>
                    <a:stretch>
                      <a:fillRect/>
                    </a:stretch>
                  </pic:blipFill>
                  <pic:spPr>
                    <a:xfrm>
                      <a:off x="0" y="0"/>
                      <a:ext cx="5486400" cy="2378462"/>
                    </a:xfrm>
                    <a:prstGeom prst="rect"/>
                  </pic:spPr>
                </pic:pic>
              </a:graphicData>
            </a:graphic>
          </wp:inline>
        </w:drawing>
      </w:r>
    </w:p>
    <w:p>
      <w:pPr>
        <w:jc w:val="center"/>
      </w:pPr>
      <w:r>
        <w:rPr>
          <w:i/>
          <w:sz w:val="20"/>
        </w:rPr>
        <w:t>Şekil 2: Örnek Eğitim Görüntüleri (Augmented)</w:t>
      </w:r>
    </w:p>
    <w:p/>
    <w:p>
      <w:pPr>
        <w:pStyle w:val="Heading1"/>
      </w:pPr>
      <w:r>
        <w:t>3. Yöntem</w:t>
      </w:r>
    </w:p>
    <w:p>
      <w:pPr>
        <w:pStyle w:val="Heading2"/>
      </w:pPr>
      <w:r>
        <w:t>3.1. Veri Ön İşleme</w:t>
      </w:r>
    </w:p>
    <w:p>
      <w:r>
        <w:t>Görüntüler 224×224 piksel boyutuna yeniden boyutlandırılmış ve piksel değerleri [0, 1] aralığına normalize edilmiştir (rescale=1.0/255). Bellek verimliliği için flow_from_directory yöntemi kullanılarak görüntüler batch batch diskten yüklenmiştir.</w:t>
      </w:r>
    </w:p>
    <w:p>
      <w:pPr>
        <w:pStyle w:val="Heading2"/>
      </w:pPr>
      <w:r>
        <w:t>3.2. Veri Arttırımı (Data Augmentation)</w:t>
      </w:r>
    </w:p>
    <w:p>
      <w:r>
        <w:t>Eğitim verisine aşağıdaki veri arttırımı teknikleri uygulanmıştır:</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Parametre</w:t>
            </w:r>
          </w:p>
        </w:tc>
        <w:tc>
          <w:tcPr>
            <w:tcW w:type="dxa" w:w="4703"/>
          </w:tcPr>
          <w:p>
            <w:r>
              <w:rPr>
                <w:b/>
              </w:rPr>
              <w:t>Değer</w:t>
            </w:r>
          </w:p>
        </w:tc>
      </w:tr>
      <w:tr>
        <w:tc>
          <w:tcPr>
            <w:tcW w:type="dxa" w:w="4703"/>
          </w:tcPr>
          <w:p>
            <w:r>
              <w:t>rescale</w:t>
            </w:r>
          </w:p>
        </w:tc>
        <w:tc>
          <w:tcPr>
            <w:tcW w:type="dxa" w:w="4703"/>
          </w:tcPr>
          <w:p>
            <w:r>
              <w:t>1.0/255</w:t>
            </w:r>
          </w:p>
        </w:tc>
      </w:tr>
      <w:tr>
        <w:tc>
          <w:tcPr>
            <w:tcW w:type="dxa" w:w="4703"/>
          </w:tcPr>
          <w:p>
            <w:r>
              <w:t>rotation_range</w:t>
            </w:r>
          </w:p>
        </w:tc>
        <w:tc>
          <w:tcPr>
            <w:tcW w:type="dxa" w:w="4703"/>
          </w:tcPr>
          <w:p>
            <w:r>
              <w:t>10°</w:t>
            </w:r>
          </w:p>
        </w:tc>
      </w:tr>
      <w:tr>
        <w:tc>
          <w:tcPr>
            <w:tcW w:type="dxa" w:w="4703"/>
          </w:tcPr>
          <w:p>
            <w:r>
              <w:t>width_shift_range</w:t>
            </w:r>
          </w:p>
        </w:tc>
        <w:tc>
          <w:tcPr>
            <w:tcW w:type="dxa" w:w="4703"/>
          </w:tcPr>
          <w:p>
            <w:r>
              <w:t>0.1</w:t>
            </w:r>
          </w:p>
        </w:tc>
      </w:tr>
      <w:tr>
        <w:tc>
          <w:tcPr>
            <w:tcW w:type="dxa" w:w="4703"/>
          </w:tcPr>
          <w:p>
            <w:r>
              <w:t>height_shift_range</w:t>
            </w:r>
          </w:p>
        </w:tc>
        <w:tc>
          <w:tcPr>
            <w:tcW w:type="dxa" w:w="4703"/>
          </w:tcPr>
          <w:p>
            <w:r>
              <w:t>0.1</w:t>
            </w:r>
          </w:p>
        </w:tc>
      </w:tr>
      <w:tr>
        <w:tc>
          <w:tcPr>
            <w:tcW w:type="dxa" w:w="4703"/>
          </w:tcPr>
          <w:p>
            <w:r>
              <w:t>shear_range</w:t>
            </w:r>
          </w:p>
        </w:tc>
        <w:tc>
          <w:tcPr>
            <w:tcW w:type="dxa" w:w="4703"/>
          </w:tcPr>
          <w:p>
            <w:r>
              <w:t>0.1</w:t>
            </w:r>
          </w:p>
        </w:tc>
      </w:tr>
      <w:tr>
        <w:tc>
          <w:tcPr>
            <w:tcW w:type="dxa" w:w="4703"/>
          </w:tcPr>
          <w:p>
            <w:r>
              <w:t>zoom_range</w:t>
            </w:r>
          </w:p>
        </w:tc>
        <w:tc>
          <w:tcPr>
            <w:tcW w:type="dxa" w:w="4703"/>
          </w:tcPr>
          <w:p>
            <w:r>
              <w:t>0.1</w:t>
            </w:r>
          </w:p>
        </w:tc>
      </w:tr>
      <w:tr>
        <w:tc>
          <w:tcPr>
            <w:tcW w:type="dxa" w:w="4703"/>
          </w:tcPr>
          <w:p>
            <w:r>
              <w:t>horizontal_flip</w:t>
            </w:r>
          </w:p>
        </w:tc>
        <w:tc>
          <w:tcPr>
            <w:tcW w:type="dxa" w:w="4703"/>
          </w:tcPr>
          <w:p>
            <w:r>
              <w:t>True</w:t>
            </w:r>
          </w:p>
        </w:tc>
      </w:tr>
      <w:tr>
        <w:tc>
          <w:tcPr>
            <w:tcW w:type="dxa" w:w="4703"/>
          </w:tcPr>
          <w:p>
            <w:r>
              <w:t>fill_mode</w:t>
            </w:r>
          </w:p>
        </w:tc>
        <w:tc>
          <w:tcPr>
            <w:tcW w:type="dxa" w:w="4703"/>
          </w:tcPr>
          <w:p>
            <w:r>
              <w:t>nearest</w:t>
            </w:r>
          </w:p>
        </w:tc>
      </w:tr>
    </w:tbl>
    <w:p/>
    <w:p>
      <w:pPr>
        <w:jc w:val="center"/>
      </w:pPr>
      <w:r>
        <w:rPr>
          <w:i/>
          <w:sz w:val="20"/>
        </w:rPr>
        <w:t>Tablo 2: Data Augmentation Parametreleri</w:t>
      </w:r>
    </w:p>
    <w:p>
      <w:r>
        <w:br/>
        <w:t>Validasyon ve test setlerine augmentation uygulanmamış, sadece rescale yapılmıştır.</w:t>
      </w:r>
    </w:p>
    <w:p>
      <w:pPr>
        <w:jc w:val="center"/>
      </w:pPr>
      <w:r>
        <w:drawing>
          <wp:inline xmlns:a="http://schemas.openxmlformats.org/drawingml/2006/main" xmlns:pic="http://schemas.openxmlformats.org/drawingml/2006/picture">
            <wp:extent cx="5486400" cy="2378462"/>
            <wp:docPr id="3" name="Picture 3"/>
            <wp:cNvGraphicFramePr>
              <a:graphicFrameLocks noChangeAspect="1"/>
            </wp:cNvGraphicFramePr>
            <a:graphic>
              <a:graphicData uri="http://schemas.openxmlformats.org/drawingml/2006/picture">
                <pic:pic>
                  <pic:nvPicPr>
                    <pic:cNvPr id="0" name="cell_13_img_02.png"/>
                    <pic:cNvPicPr/>
                  </pic:nvPicPr>
                  <pic:blipFill>
                    <a:blip r:embed="rId11"/>
                    <a:stretch>
                      <a:fillRect/>
                    </a:stretch>
                  </pic:blipFill>
                  <pic:spPr>
                    <a:xfrm>
                      <a:off x="0" y="0"/>
                      <a:ext cx="5486400" cy="2378462"/>
                    </a:xfrm>
                    <a:prstGeom prst="rect"/>
                  </pic:spPr>
                </pic:pic>
              </a:graphicData>
            </a:graphic>
          </wp:inline>
        </w:drawing>
      </w:r>
    </w:p>
    <w:p>
      <w:pPr>
        <w:jc w:val="center"/>
      </w:pPr>
      <w:r>
        <w:rPr>
          <w:i/>
          <w:sz w:val="20"/>
        </w:rPr>
        <w:t>Şekil 3: Veri Arttırımı (Data Augmentation) Örnekleri</w:t>
      </w:r>
    </w:p>
    <w:p/>
    <w:p>
      <w:pPr>
        <w:pStyle w:val="Heading2"/>
      </w:pPr>
      <w:r>
        <w:t>3.3. Model Mimarisi</w:t>
      </w:r>
    </w:p>
    <w:p>
      <w:r>
        <w:t>Her iki model için de aynı sınıflandırma katman yapısı kullanılmıştır:</w:t>
      </w:r>
    </w:p>
    <w:p>
      <w:pPr>
        <w:pStyle w:val="ListBullet"/>
      </w:pPr>
      <w:r>
        <w:t>Base Model (DenseNet121 / MobileNetV1) - ImageNet ağırlıkları, dondurulmuş (freeze)</w:t>
      </w:r>
    </w:p>
    <w:p>
      <w:pPr>
        <w:pStyle w:val="ListBullet"/>
      </w:pPr>
      <w:r>
        <w:t>GlobalAveragePooling2D</w:t>
      </w:r>
    </w:p>
    <w:p>
      <w:pPr>
        <w:pStyle w:val="ListBullet"/>
      </w:pPr>
      <w:r>
        <w:t>Dropout (0.5)</w:t>
      </w:r>
    </w:p>
    <w:p>
      <w:pPr>
        <w:pStyle w:val="ListBullet"/>
      </w:pPr>
      <w:r>
        <w:t>Dense (256, activation=relu)</w:t>
      </w:r>
    </w:p>
    <w:p>
      <w:pPr>
        <w:pStyle w:val="ListBullet"/>
      </w:pPr>
      <w:r>
        <w:t>Dense (256, activation=relu)</w:t>
      </w:r>
    </w:p>
    <w:p>
      <w:pPr>
        <w:pStyle w:val="ListBullet"/>
      </w:pPr>
      <w:r>
        <w:t>Dense (128, activation=relu)</w:t>
      </w:r>
    </w:p>
    <w:p>
      <w:pPr>
        <w:pStyle w:val="ListBullet"/>
      </w:pPr>
      <w:r>
        <w:t>Dense (64, activation=relu)</w:t>
      </w:r>
    </w:p>
    <w:p>
      <w:pPr>
        <w:pStyle w:val="ListBullet"/>
      </w:pPr>
      <w:r>
        <w:t>Dense (2, activation=softmax) - Çıkış katmanı</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Model</w:t>
            </w:r>
          </w:p>
        </w:tc>
        <w:tc>
          <w:tcPr>
            <w:tcW w:type="dxa" w:w="2351"/>
          </w:tcPr>
          <w:p>
            <w:r>
              <w:rPr>
                <w:b/>
              </w:rPr>
              <w:t>Toplam Parametre</w:t>
            </w:r>
          </w:p>
        </w:tc>
        <w:tc>
          <w:tcPr>
            <w:tcW w:type="dxa" w:w="2351"/>
          </w:tcPr>
          <w:p>
            <w:r>
              <w:rPr>
                <w:b/>
              </w:rPr>
              <w:t>Eğitilebilir</w:t>
            </w:r>
          </w:p>
        </w:tc>
        <w:tc>
          <w:tcPr>
            <w:tcW w:type="dxa" w:w="2351"/>
          </w:tcPr>
          <w:p>
            <w:r>
              <w:rPr>
                <w:b/>
              </w:rPr>
              <w:t>Eğitilemez</w:t>
            </w:r>
          </w:p>
        </w:tc>
      </w:tr>
      <w:tr>
        <w:tc>
          <w:tcPr>
            <w:tcW w:type="dxa" w:w="2351"/>
          </w:tcPr>
          <w:p>
            <w:r>
              <w:t>DenseNet121</w:t>
            </w:r>
          </w:p>
        </w:tc>
        <w:tc>
          <w:tcPr>
            <w:tcW w:type="dxa" w:w="2351"/>
          </w:tcPr>
          <w:p>
            <w:r>
              <w:t>7,406,978</w:t>
            </w:r>
          </w:p>
        </w:tc>
        <w:tc>
          <w:tcPr>
            <w:tcW w:type="dxa" w:w="2351"/>
          </w:tcPr>
          <w:p>
            <w:r>
              <w:t>369,474</w:t>
            </w:r>
          </w:p>
        </w:tc>
        <w:tc>
          <w:tcPr>
            <w:tcW w:type="dxa" w:w="2351"/>
          </w:tcPr>
          <w:p>
            <w:r>
              <w:t>7,037,504</w:t>
            </w:r>
          </w:p>
        </w:tc>
      </w:tr>
      <w:tr>
        <w:tc>
          <w:tcPr>
            <w:tcW w:type="dxa" w:w="2351"/>
          </w:tcPr>
          <w:p>
            <w:r>
              <w:t>MobileNetV1</w:t>
            </w:r>
          </w:p>
        </w:tc>
        <w:tc>
          <w:tcPr>
            <w:tcW w:type="dxa" w:w="2351"/>
          </w:tcPr>
          <w:p>
            <w:r>
              <w:t>3,598,338</w:t>
            </w:r>
          </w:p>
        </w:tc>
        <w:tc>
          <w:tcPr>
            <w:tcW w:type="dxa" w:w="2351"/>
          </w:tcPr>
          <w:p>
            <w:r>
              <w:t>369,474</w:t>
            </w:r>
          </w:p>
        </w:tc>
        <w:tc>
          <w:tcPr>
            <w:tcW w:type="dxa" w:w="2351"/>
          </w:tcPr>
          <w:p>
            <w:r>
              <w:t>3,228,864</w:t>
            </w:r>
          </w:p>
        </w:tc>
      </w:tr>
    </w:tbl>
    <w:p/>
    <w:p>
      <w:pPr>
        <w:jc w:val="center"/>
      </w:pPr>
      <w:r>
        <w:rPr>
          <w:i/>
          <w:sz w:val="20"/>
        </w:rPr>
        <w:t>Tablo 3: Model Parametre Bilgileri</w:t>
      </w:r>
    </w:p>
    <w:p>
      <w:pPr>
        <w:pStyle w:val="Heading2"/>
      </w:pPr>
      <w:r>
        <w:t>3.4. Eğitim Parametreleri</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Parametre</w:t>
            </w:r>
          </w:p>
        </w:tc>
        <w:tc>
          <w:tcPr>
            <w:tcW w:type="dxa" w:w="4703"/>
          </w:tcPr>
          <w:p>
            <w:r>
              <w:rPr>
                <w:b/>
              </w:rPr>
              <w:t>Değer</w:t>
            </w:r>
          </w:p>
        </w:tc>
      </w:tr>
      <w:tr>
        <w:tc>
          <w:tcPr>
            <w:tcW w:type="dxa" w:w="4703"/>
          </w:tcPr>
          <w:p>
            <w:r>
              <w:t>Optimizer</w:t>
            </w:r>
          </w:p>
        </w:tc>
        <w:tc>
          <w:tcPr>
            <w:tcW w:type="dxa" w:w="4703"/>
          </w:tcPr>
          <w:p>
            <w:r>
              <w:t>Adam</w:t>
            </w:r>
          </w:p>
        </w:tc>
      </w:tr>
      <w:tr>
        <w:tc>
          <w:tcPr>
            <w:tcW w:type="dxa" w:w="4703"/>
          </w:tcPr>
          <w:p>
            <w:r>
              <w:t>Öğrenme Hızı (lr)</w:t>
            </w:r>
          </w:p>
        </w:tc>
        <w:tc>
          <w:tcPr>
            <w:tcW w:type="dxa" w:w="4703"/>
          </w:tcPr>
          <w:p>
            <w:r>
              <w:t>0.001</w:t>
            </w:r>
          </w:p>
        </w:tc>
      </w:tr>
      <w:tr>
        <w:tc>
          <w:tcPr>
            <w:tcW w:type="dxa" w:w="4703"/>
          </w:tcPr>
          <w:p>
            <w:r>
              <w:t>Loss Fonksiyonu</w:t>
            </w:r>
          </w:p>
        </w:tc>
        <w:tc>
          <w:tcPr>
            <w:tcW w:type="dxa" w:w="4703"/>
          </w:tcPr>
          <w:p>
            <w:r>
              <w:t>Categorical Crossentropy</w:t>
            </w:r>
          </w:p>
        </w:tc>
      </w:tr>
      <w:tr>
        <w:tc>
          <w:tcPr>
            <w:tcW w:type="dxa" w:w="4703"/>
          </w:tcPr>
          <w:p>
            <w:r>
              <w:t>Epoch</w:t>
            </w:r>
          </w:p>
        </w:tc>
        <w:tc>
          <w:tcPr>
            <w:tcW w:type="dxa" w:w="4703"/>
          </w:tcPr>
          <w:p>
            <w:r>
              <w:t>100 (max)</w:t>
            </w:r>
          </w:p>
        </w:tc>
      </w:tr>
      <w:tr>
        <w:tc>
          <w:tcPr>
            <w:tcW w:type="dxa" w:w="4703"/>
          </w:tcPr>
          <w:p>
            <w:r>
              <w:t>Batch Size</w:t>
            </w:r>
          </w:p>
        </w:tc>
        <w:tc>
          <w:tcPr>
            <w:tcW w:type="dxa" w:w="4703"/>
          </w:tcPr>
          <w:p>
            <w:r>
              <w:t>32</w:t>
            </w:r>
          </w:p>
        </w:tc>
      </w:tr>
      <w:tr>
        <w:tc>
          <w:tcPr>
            <w:tcW w:type="dxa" w:w="4703"/>
          </w:tcPr>
          <w:p>
            <w:r>
              <w:t>Early Stopping</w:t>
            </w:r>
          </w:p>
        </w:tc>
        <w:tc>
          <w:tcPr>
            <w:tcW w:type="dxa" w:w="4703"/>
          </w:tcPr>
          <w:p>
            <w:r>
              <w:t>patience=25, restore_best_weights=True</w:t>
            </w:r>
          </w:p>
        </w:tc>
      </w:tr>
      <w:tr>
        <w:tc>
          <w:tcPr>
            <w:tcW w:type="dxa" w:w="4703"/>
          </w:tcPr>
          <w:p>
            <w:r>
              <w:t>ReduceLROnPlateau</w:t>
            </w:r>
          </w:p>
        </w:tc>
        <w:tc>
          <w:tcPr>
            <w:tcW w:type="dxa" w:w="4703"/>
          </w:tcPr>
          <w:p>
            <w:r>
              <w:t>factor=0.1, patience=5, min_lr=1e-7</w:t>
            </w:r>
          </w:p>
        </w:tc>
      </w:tr>
      <w:tr>
        <w:tc>
          <w:tcPr>
            <w:tcW w:type="dxa" w:w="4703"/>
          </w:tcPr>
          <w:p>
            <w:r>
              <w:t>ModelCheckpoint</w:t>
            </w:r>
          </w:p>
        </w:tc>
        <w:tc>
          <w:tcPr>
            <w:tcW w:type="dxa" w:w="4703"/>
          </w:tcPr>
          <w:p>
            <w:r>
              <w:t>En iyi modeli kaydet (val_loss)</w:t>
            </w:r>
          </w:p>
        </w:tc>
      </w:tr>
    </w:tbl>
    <w:p/>
    <w:p>
      <w:pPr>
        <w:jc w:val="center"/>
      </w:pPr>
      <w:r>
        <w:rPr>
          <w:i/>
          <w:sz w:val="20"/>
        </w:rPr>
        <w:t>Tablo 4: Eğitim Hiperparametreleri</w:t>
      </w:r>
    </w:p>
    <w:p>
      <w:r>
        <w:br w:type="page"/>
      </w:r>
    </w:p>
    <w:p>
      <w:pPr>
        <w:pStyle w:val="Heading1"/>
      </w:pPr>
      <w:r>
        <w:t>4. Deneysel Sonuçlar</w:t>
      </w:r>
    </w:p>
    <w:p>
      <w:pPr>
        <w:pStyle w:val="Heading2"/>
      </w:pPr>
      <w:r>
        <w:t>4.1. DenseNet121 Sonuçları</w:t>
      </w:r>
    </w:p>
    <w:p>
      <w:r>
        <w:t>DenseNet121 modeli eğitim sürecinde hızlı bir şekilde yakınsamıştır. İlk epoch'ta %95.76 eğitim accuracy'si ve %99.26 validasyon accuracy'si elde edilmiştir. Early Stopping mekanizması sayesinde model erken durdurulmuştur.</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Metrik</w:t>
            </w:r>
          </w:p>
        </w:tc>
        <w:tc>
          <w:tcPr>
            <w:tcW w:type="dxa" w:w="4703"/>
          </w:tcPr>
          <w:p>
            <w:r>
              <w:rPr>
                <w:b/>
              </w:rPr>
              <w:t>Değer</w:t>
            </w:r>
          </w:p>
        </w:tc>
      </w:tr>
      <w:tr>
        <w:tc>
          <w:tcPr>
            <w:tcW w:type="dxa" w:w="4703"/>
          </w:tcPr>
          <w:p>
            <w:r>
              <w:t>Accuracy (Doğruluk)</w:t>
            </w:r>
          </w:p>
        </w:tc>
        <w:tc>
          <w:tcPr>
            <w:tcW w:type="dxa" w:w="4703"/>
          </w:tcPr>
          <w:p>
            <w:r>
              <w:t>%99.54</w:t>
            </w:r>
          </w:p>
        </w:tc>
      </w:tr>
      <w:tr>
        <w:tc>
          <w:tcPr>
            <w:tcW w:type="dxa" w:w="4703"/>
          </w:tcPr>
          <w:p>
            <w:r>
              <w:t>Precision (Hassasiyet)</w:t>
            </w:r>
          </w:p>
        </w:tc>
        <w:tc>
          <w:tcPr>
            <w:tcW w:type="dxa" w:w="4703"/>
          </w:tcPr>
          <w:p>
            <w:r>
              <w:t>%99.20</w:t>
            </w:r>
          </w:p>
        </w:tc>
      </w:tr>
      <w:tr>
        <w:tc>
          <w:tcPr>
            <w:tcW w:type="dxa" w:w="4703"/>
          </w:tcPr>
          <w:p>
            <w:r>
              <w:t>Recall (Duyarlılık)</w:t>
            </w:r>
          </w:p>
        </w:tc>
        <w:tc>
          <w:tcPr>
            <w:tcW w:type="dxa" w:w="4703"/>
          </w:tcPr>
          <w:p>
            <w:r>
              <w:t>%99.87</w:t>
            </w:r>
          </w:p>
        </w:tc>
      </w:tr>
      <w:tr>
        <w:tc>
          <w:tcPr>
            <w:tcW w:type="dxa" w:w="4703"/>
          </w:tcPr>
          <w:p>
            <w:r>
              <w:t>Specificity (Özgüllük)</w:t>
            </w:r>
          </w:p>
        </w:tc>
        <w:tc>
          <w:tcPr>
            <w:tcW w:type="dxa" w:w="4703"/>
          </w:tcPr>
          <w:p>
            <w:r>
              <w:t>%99.87</w:t>
            </w:r>
          </w:p>
        </w:tc>
      </w:tr>
      <w:tr>
        <w:tc>
          <w:tcPr>
            <w:tcW w:type="dxa" w:w="4703"/>
          </w:tcPr>
          <w:p>
            <w:r>
              <w:t>F1-Score</w:t>
            </w:r>
          </w:p>
        </w:tc>
        <w:tc>
          <w:tcPr>
            <w:tcW w:type="dxa" w:w="4703"/>
          </w:tcPr>
          <w:p>
            <w:r>
              <w:t>%99.53</w:t>
            </w:r>
          </w:p>
        </w:tc>
      </w:tr>
      <w:tr>
        <w:tc>
          <w:tcPr>
            <w:tcW w:type="dxa" w:w="4703"/>
          </w:tcPr>
          <w:p>
            <w:r>
              <w:t>AUC</w:t>
            </w:r>
          </w:p>
        </w:tc>
        <w:tc>
          <w:tcPr>
            <w:tcW w:type="dxa" w:w="4703"/>
          </w:tcPr>
          <w:p>
            <w:r>
              <w:t>0.9999</w:t>
            </w:r>
          </w:p>
        </w:tc>
      </w:tr>
    </w:tbl>
    <w:p/>
    <w:p>
      <w:pPr>
        <w:jc w:val="center"/>
      </w:pPr>
      <w:r>
        <w:rPr>
          <w:i/>
          <w:sz w:val="20"/>
        </w:rPr>
        <w:t>Tablo 5: DenseNet121 Test Sonuçları</w:t>
      </w:r>
    </w:p>
    <w:p>
      <w:r>
        <w:br/>
      </w:r>
      <w:r>
        <w:rPr>
          <w:b/>
        </w:rPr>
        <w:t xml:space="preserve">Confusion Matrix: </w:t>
      </w:r>
      <w:r>
        <w:t>TN=744, FP=1, FN=6, TP=760</w:t>
      </w:r>
    </w:p>
    <w:p/>
    <w:p>
      <w:r>
        <w:t>Sınıflandırma Raporu:</w:t>
        <w:br/>
        <w:t xml:space="preserve">              precision    recall  f1-score   support</w:t>
        <w:br/>
        <w:t xml:space="preserve">   with_mask       0.99      1.00      1.00       745</w:t>
        <w:br/>
        <w:t>without_mask       1.00      0.99      1.00       766</w:t>
        <w:br/>
        <w:t xml:space="preserve">    accuracy                           1.00      1511</w:t>
      </w:r>
    </w:p>
    <w:p>
      <w:pPr>
        <w:jc w:val="center"/>
      </w:pPr>
      <w:r>
        <w:drawing>
          <wp:inline xmlns:a="http://schemas.openxmlformats.org/drawingml/2006/main" xmlns:pic="http://schemas.openxmlformats.org/drawingml/2006/picture">
            <wp:extent cx="5486400" cy="2045308"/>
            <wp:docPr id="4" name="Picture 4"/>
            <wp:cNvGraphicFramePr>
              <a:graphicFrameLocks noChangeAspect="1"/>
            </wp:cNvGraphicFramePr>
            <a:graphic>
              <a:graphicData uri="http://schemas.openxmlformats.org/drawingml/2006/picture">
                <pic:pic>
                  <pic:nvPicPr>
                    <pic:cNvPr id="0" name="cell_22_img_03.png"/>
                    <pic:cNvPicPr/>
                  </pic:nvPicPr>
                  <pic:blipFill>
                    <a:blip r:embed="rId12"/>
                    <a:stretch>
                      <a:fillRect/>
                    </a:stretch>
                  </pic:blipFill>
                  <pic:spPr>
                    <a:xfrm>
                      <a:off x="0" y="0"/>
                      <a:ext cx="5486400" cy="2045308"/>
                    </a:xfrm>
                    <a:prstGeom prst="rect"/>
                  </pic:spPr>
                </pic:pic>
              </a:graphicData>
            </a:graphic>
          </wp:inline>
        </w:drawing>
      </w:r>
    </w:p>
    <w:p>
      <w:pPr>
        <w:jc w:val="center"/>
      </w:pPr>
      <w:r>
        <w:rPr>
          <w:i/>
          <w:sz w:val="20"/>
        </w:rPr>
        <w:t>Şekil 4: DenseNet121 - Eğitim/Validasyon Accuracy ve Loss Grafikleri</w:t>
      </w:r>
    </w:p>
    <w:p/>
    <w:p>
      <w:pPr>
        <w:jc w:val="center"/>
      </w:pPr>
      <w:r>
        <w:drawing>
          <wp:inline xmlns:a="http://schemas.openxmlformats.org/drawingml/2006/main" xmlns:pic="http://schemas.openxmlformats.org/drawingml/2006/picture">
            <wp:extent cx="5486400" cy="2042735"/>
            <wp:docPr id="5" name="Picture 5"/>
            <wp:cNvGraphicFramePr>
              <a:graphicFrameLocks noChangeAspect="1"/>
            </wp:cNvGraphicFramePr>
            <a:graphic>
              <a:graphicData uri="http://schemas.openxmlformats.org/drawingml/2006/picture">
                <pic:pic>
                  <pic:nvPicPr>
                    <pic:cNvPr id="0" name="cell_23_img_04.png"/>
                    <pic:cNvPicPr/>
                  </pic:nvPicPr>
                  <pic:blipFill>
                    <a:blip r:embed="rId13"/>
                    <a:stretch>
                      <a:fillRect/>
                    </a:stretch>
                  </pic:blipFill>
                  <pic:spPr>
                    <a:xfrm>
                      <a:off x="0" y="0"/>
                      <a:ext cx="5486400" cy="2042735"/>
                    </a:xfrm>
                    <a:prstGeom prst="rect"/>
                  </pic:spPr>
                </pic:pic>
              </a:graphicData>
            </a:graphic>
          </wp:inline>
        </w:drawing>
      </w:r>
    </w:p>
    <w:p>
      <w:pPr>
        <w:jc w:val="center"/>
      </w:pPr>
      <w:r>
        <w:rPr>
          <w:i/>
          <w:sz w:val="20"/>
        </w:rPr>
        <w:t>Şekil 5: DenseNet121 - Confusion Matrix ve ROC Eğrisi</w:t>
      </w:r>
    </w:p>
    <w:p/>
    <w:p>
      <w:pPr>
        <w:pStyle w:val="Heading2"/>
      </w:pPr>
      <w:r>
        <w:t>4.2. MobileNetV1 Sonuçları</w:t>
      </w:r>
    </w:p>
    <w:p>
      <w:r>
        <w:t>MobileNetV1 modeli de yüksek performans göstermiştir. Daha hafif mimarisi sayesinde DenseNet121'e kıyasla daha hızlı eğitilmiştir.</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Metrik</w:t>
            </w:r>
          </w:p>
        </w:tc>
        <w:tc>
          <w:tcPr>
            <w:tcW w:type="dxa" w:w="4703"/>
          </w:tcPr>
          <w:p>
            <w:r>
              <w:rPr>
                <w:b/>
              </w:rPr>
              <w:t>Değer</w:t>
            </w:r>
          </w:p>
        </w:tc>
      </w:tr>
      <w:tr>
        <w:tc>
          <w:tcPr>
            <w:tcW w:type="dxa" w:w="4703"/>
          </w:tcPr>
          <w:p>
            <w:r>
              <w:t>Accuracy (Doğruluk)</w:t>
            </w:r>
          </w:p>
        </w:tc>
        <w:tc>
          <w:tcPr>
            <w:tcW w:type="dxa" w:w="4703"/>
          </w:tcPr>
          <w:p>
            <w:r>
              <w:t>%99.40</w:t>
            </w:r>
          </w:p>
        </w:tc>
      </w:tr>
      <w:tr>
        <w:tc>
          <w:tcPr>
            <w:tcW w:type="dxa" w:w="4703"/>
          </w:tcPr>
          <w:p>
            <w:r>
              <w:t>Precision (Hassasiyet)</w:t>
            </w:r>
          </w:p>
        </w:tc>
        <w:tc>
          <w:tcPr>
            <w:tcW w:type="dxa" w:w="4703"/>
          </w:tcPr>
          <w:p>
            <w:r>
              <w:t>%99.07</w:t>
            </w:r>
          </w:p>
        </w:tc>
      </w:tr>
      <w:tr>
        <w:tc>
          <w:tcPr>
            <w:tcW w:type="dxa" w:w="4703"/>
          </w:tcPr>
          <w:p>
            <w:r>
              <w:t>Recall (Duyarlılık)</w:t>
            </w:r>
          </w:p>
        </w:tc>
        <w:tc>
          <w:tcPr>
            <w:tcW w:type="dxa" w:w="4703"/>
          </w:tcPr>
          <w:p>
            <w:r>
              <w:t>%99.73</w:t>
            </w:r>
          </w:p>
        </w:tc>
      </w:tr>
      <w:tr>
        <w:tc>
          <w:tcPr>
            <w:tcW w:type="dxa" w:w="4703"/>
          </w:tcPr>
          <w:p>
            <w:r>
              <w:t>Specificity (Özgüllük)</w:t>
            </w:r>
          </w:p>
        </w:tc>
        <w:tc>
          <w:tcPr>
            <w:tcW w:type="dxa" w:w="4703"/>
          </w:tcPr>
          <w:p>
            <w:r>
              <w:t>%99.73</w:t>
            </w:r>
          </w:p>
        </w:tc>
      </w:tr>
      <w:tr>
        <w:tc>
          <w:tcPr>
            <w:tcW w:type="dxa" w:w="4703"/>
          </w:tcPr>
          <w:p>
            <w:r>
              <w:t>F1-Score</w:t>
            </w:r>
          </w:p>
        </w:tc>
        <w:tc>
          <w:tcPr>
            <w:tcW w:type="dxa" w:w="4703"/>
          </w:tcPr>
          <w:p>
            <w:r>
              <w:t>%99.40</w:t>
            </w:r>
          </w:p>
        </w:tc>
      </w:tr>
      <w:tr>
        <w:tc>
          <w:tcPr>
            <w:tcW w:type="dxa" w:w="4703"/>
          </w:tcPr>
          <w:p>
            <w:r>
              <w:t>AUC</w:t>
            </w:r>
          </w:p>
        </w:tc>
        <w:tc>
          <w:tcPr>
            <w:tcW w:type="dxa" w:w="4703"/>
          </w:tcPr>
          <w:p>
            <w:r>
              <w:t>0.9999</w:t>
            </w:r>
          </w:p>
        </w:tc>
      </w:tr>
    </w:tbl>
    <w:p/>
    <w:p>
      <w:pPr>
        <w:jc w:val="center"/>
      </w:pPr>
      <w:r>
        <w:rPr>
          <w:i/>
          <w:sz w:val="20"/>
        </w:rPr>
        <w:t>Tablo 6: MobileNetV1 Test Sonuçları</w:t>
      </w:r>
    </w:p>
    <w:p>
      <w:r>
        <w:br/>
      </w:r>
      <w:r>
        <w:rPr>
          <w:b/>
        </w:rPr>
        <w:t xml:space="preserve">Confusion Matrix: </w:t>
      </w:r>
      <w:r>
        <w:t>TN=743, FP=2, FN=7, TP=759</w:t>
      </w:r>
    </w:p>
    <w:p/>
    <w:p>
      <w:r>
        <w:t>Sınıflandırma Raporu:</w:t>
        <w:br/>
        <w:t xml:space="preserve">              precision    recall  f1-score   support</w:t>
        <w:br/>
        <w:t xml:space="preserve">   with_mask       0.99      1.00      0.99       745</w:t>
        <w:br/>
        <w:t>without_mask       1.00      0.99      0.99       766</w:t>
        <w:br/>
        <w:t xml:space="preserve">    accuracy                           0.99      1511</w:t>
      </w:r>
    </w:p>
    <w:p>
      <w:pPr>
        <w:jc w:val="center"/>
      </w:pPr>
      <w:r>
        <w:drawing>
          <wp:inline xmlns:a="http://schemas.openxmlformats.org/drawingml/2006/main" xmlns:pic="http://schemas.openxmlformats.org/drawingml/2006/picture">
            <wp:extent cx="5486400" cy="2044021"/>
            <wp:docPr id="6" name="Picture 6"/>
            <wp:cNvGraphicFramePr>
              <a:graphicFrameLocks noChangeAspect="1"/>
            </wp:cNvGraphicFramePr>
            <a:graphic>
              <a:graphicData uri="http://schemas.openxmlformats.org/drawingml/2006/picture">
                <pic:pic>
                  <pic:nvPicPr>
                    <pic:cNvPr id="0" name="cell_27_img_05.png"/>
                    <pic:cNvPicPr/>
                  </pic:nvPicPr>
                  <pic:blipFill>
                    <a:blip r:embed="rId14"/>
                    <a:stretch>
                      <a:fillRect/>
                    </a:stretch>
                  </pic:blipFill>
                  <pic:spPr>
                    <a:xfrm>
                      <a:off x="0" y="0"/>
                      <a:ext cx="5486400" cy="2044021"/>
                    </a:xfrm>
                    <a:prstGeom prst="rect"/>
                  </pic:spPr>
                </pic:pic>
              </a:graphicData>
            </a:graphic>
          </wp:inline>
        </w:drawing>
      </w:r>
    </w:p>
    <w:p>
      <w:pPr>
        <w:jc w:val="center"/>
      </w:pPr>
      <w:r>
        <w:rPr>
          <w:i/>
          <w:sz w:val="20"/>
        </w:rPr>
        <w:t>Şekil 6: MobileNetV1 - Eğitim/Validasyon Accuracy ve Loss Grafikleri</w:t>
      </w:r>
    </w:p>
    <w:p/>
    <w:p>
      <w:pPr>
        <w:jc w:val="center"/>
      </w:pPr>
      <w:r>
        <w:drawing>
          <wp:inline xmlns:a="http://schemas.openxmlformats.org/drawingml/2006/main" xmlns:pic="http://schemas.openxmlformats.org/drawingml/2006/picture">
            <wp:extent cx="5486400" cy="2042735"/>
            <wp:docPr id="7" name="Picture 7"/>
            <wp:cNvGraphicFramePr>
              <a:graphicFrameLocks noChangeAspect="1"/>
            </wp:cNvGraphicFramePr>
            <a:graphic>
              <a:graphicData uri="http://schemas.openxmlformats.org/drawingml/2006/picture">
                <pic:pic>
                  <pic:nvPicPr>
                    <pic:cNvPr id="0" name="cell_28_img_06.png"/>
                    <pic:cNvPicPr/>
                  </pic:nvPicPr>
                  <pic:blipFill>
                    <a:blip r:embed="rId15"/>
                    <a:stretch>
                      <a:fillRect/>
                    </a:stretch>
                  </pic:blipFill>
                  <pic:spPr>
                    <a:xfrm>
                      <a:off x="0" y="0"/>
                      <a:ext cx="5486400" cy="2042735"/>
                    </a:xfrm>
                    <a:prstGeom prst="rect"/>
                  </pic:spPr>
                </pic:pic>
              </a:graphicData>
            </a:graphic>
          </wp:inline>
        </w:drawing>
      </w:r>
    </w:p>
    <w:p>
      <w:pPr>
        <w:jc w:val="center"/>
      </w:pPr>
      <w:r>
        <w:rPr>
          <w:i/>
          <w:sz w:val="20"/>
        </w:rPr>
        <w:t>Şekil 7: MobileNetV1 - Confusion Matrix ve ROC Eğrisi</w:t>
      </w:r>
    </w:p>
    <w:p/>
    <w:p>
      <w:pPr>
        <w:pStyle w:val="Heading2"/>
      </w:pPr>
      <w:r>
        <w:t>4.3. Model Karşılaştırması</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Model</w:t>
            </w:r>
          </w:p>
        </w:tc>
        <w:tc>
          <w:tcPr>
            <w:tcW w:type="dxa" w:w="1344"/>
          </w:tcPr>
          <w:p>
            <w:r>
              <w:rPr>
                <w:b/>
              </w:rPr>
              <w:t>Accuracy</w:t>
            </w:r>
          </w:p>
        </w:tc>
        <w:tc>
          <w:tcPr>
            <w:tcW w:type="dxa" w:w="1344"/>
          </w:tcPr>
          <w:p>
            <w:r>
              <w:rPr>
                <w:b/>
              </w:rPr>
              <w:t>Precision</w:t>
            </w:r>
          </w:p>
        </w:tc>
        <w:tc>
          <w:tcPr>
            <w:tcW w:type="dxa" w:w="1344"/>
          </w:tcPr>
          <w:p>
            <w:r>
              <w:rPr>
                <w:b/>
              </w:rPr>
              <w:t>Recall</w:t>
            </w:r>
          </w:p>
        </w:tc>
        <w:tc>
          <w:tcPr>
            <w:tcW w:type="dxa" w:w="1344"/>
          </w:tcPr>
          <w:p>
            <w:r>
              <w:rPr>
                <w:b/>
              </w:rPr>
              <w:t>Specificity</w:t>
            </w:r>
          </w:p>
        </w:tc>
        <w:tc>
          <w:tcPr>
            <w:tcW w:type="dxa" w:w="1344"/>
          </w:tcPr>
          <w:p>
            <w:r>
              <w:rPr>
                <w:b/>
              </w:rPr>
              <w:t>F1-Score</w:t>
            </w:r>
          </w:p>
        </w:tc>
        <w:tc>
          <w:tcPr>
            <w:tcW w:type="dxa" w:w="1344"/>
          </w:tcPr>
          <w:p>
            <w:r>
              <w:rPr>
                <w:b/>
              </w:rPr>
              <w:t>AUC</w:t>
            </w:r>
          </w:p>
        </w:tc>
      </w:tr>
      <w:tr>
        <w:tc>
          <w:tcPr>
            <w:tcW w:type="dxa" w:w="1344"/>
          </w:tcPr>
          <w:p>
            <w:r>
              <w:t>DenseNet121</w:t>
            </w:r>
          </w:p>
        </w:tc>
        <w:tc>
          <w:tcPr>
            <w:tcW w:type="dxa" w:w="1344"/>
          </w:tcPr>
          <w:p>
            <w:r>
              <w:t>0.9954</w:t>
            </w:r>
          </w:p>
        </w:tc>
        <w:tc>
          <w:tcPr>
            <w:tcW w:type="dxa" w:w="1344"/>
          </w:tcPr>
          <w:p>
            <w:r>
              <w:t>0.9920</w:t>
            </w:r>
          </w:p>
        </w:tc>
        <w:tc>
          <w:tcPr>
            <w:tcW w:type="dxa" w:w="1344"/>
          </w:tcPr>
          <w:p>
            <w:r>
              <w:t>0.9987</w:t>
            </w:r>
          </w:p>
        </w:tc>
        <w:tc>
          <w:tcPr>
            <w:tcW w:type="dxa" w:w="1344"/>
          </w:tcPr>
          <w:p>
            <w:r>
              <w:t>0.9987</w:t>
            </w:r>
          </w:p>
        </w:tc>
        <w:tc>
          <w:tcPr>
            <w:tcW w:type="dxa" w:w="1344"/>
          </w:tcPr>
          <w:p>
            <w:r>
              <w:t>0.9953</w:t>
            </w:r>
          </w:p>
        </w:tc>
        <w:tc>
          <w:tcPr>
            <w:tcW w:type="dxa" w:w="1344"/>
          </w:tcPr>
          <w:p>
            <w:r>
              <w:t>0.9999</w:t>
            </w:r>
          </w:p>
        </w:tc>
      </w:tr>
      <w:tr>
        <w:tc>
          <w:tcPr>
            <w:tcW w:type="dxa" w:w="1344"/>
          </w:tcPr>
          <w:p>
            <w:r>
              <w:t>MobileNetV1</w:t>
            </w:r>
          </w:p>
        </w:tc>
        <w:tc>
          <w:tcPr>
            <w:tcW w:type="dxa" w:w="1344"/>
          </w:tcPr>
          <w:p>
            <w:r>
              <w:t>0.9940</w:t>
            </w:r>
          </w:p>
        </w:tc>
        <w:tc>
          <w:tcPr>
            <w:tcW w:type="dxa" w:w="1344"/>
          </w:tcPr>
          <w:p>
            <w:r>
              <w:t>0.9907</w:t>
            </w:r>
          </w:p>
        </w:tc>
        <w:tc>
          <w:tcPr>
            <w:tcW w:type="dxa" w:w="1344"/>
          </w:tcPr>
          <w:p>
            <w:r>
              <w:t>0.9973</w:t>
            </w:r>
          </w:p>
        </w:tc>
        <w:tc>
          <w:tcPr>
            <w:tcW w:type="dxa" w:w="1344"/>
          </w:tcPr>
          <w:p>
            <w:r>
              <w:t>0.9973</w:t>
            </w:r>
          </w:p>
        </w:tc>
        <w:tc>
          <w:tcPr>
            <w:tcW w:type="dxa" w:w="1344"/>
          </w:tcPr>
          <w:p>
            <w:r>
              <w:t>0.9940</w:t>
            </w:r>
          </w:p>
        </w:tc>
        <w:tc>
          <w:tcPr>
            <w:tcW w:type="dxa" w:w="1344"/>
          </w:tcPr>
          <w:p>
            <w:r>
              <w:t>0.9999</w:t>
            </w:r>
          </w:p>
        </w:tc>
      </w:tr>
    </w:tbl>
    <w:p/>
    <w:p>
      <w:pPr>
        <w:jc w:val="center"/>
      </w:pPr>
      <w:r>
        <w:rPr>
          <w:i/>
          <w:sz w:val="20"/>
        </w:rPr>
        <w:t>Tablo 7: Model Karşılaştırma Tablosu</w:t>
      </w:r>
    </w:p>
    <w:p>
      <w:r>
        <w:br/>
        <w:t>Her iki model de %99+ doğruluk oranı ile son derece başarılı sonuçlar üretmiştir. DenseNet121 modeli Accuracy (%99.54) ve F1-Score (%99.53) metriklerinde MobileNetV1'den hafif üstünlük göstermiştir.</w:t>
      </w:r>
    </w:p>
    <w:p>
      <w:pPr>
        <w:jc w:val="center"/>
      </w:pPr>
      <w:r>
        <w:drawing>
          <wp:inline xmlns:a="http://schemas.openxmlformats.org/drawingml/2006/main" xmlns:pic="http://schemas.openxmlformats.org/drawingml/2006/picture">
            <wp:extent cx="5486400" cy="2117934"/>
            <wp:docPr id="8" name="Picture 8"/>
            <wp:cNvGraphicFramePr>
              <a:graphicFrameLocks noChangeAspect="1"/>
            </wp:cNvGraphicFramePr>
            <a:graphic>
              <a:graphicData uri="http://schemas.openxmlformats.org/drawingml/2006/picture">
                <pic:pic>
                  <pic:nvPicPr>
                    <pic:cNvPr id="0" name="cell_31_img_07.png"/>
                    <pic:cNvPicPr/>
                  </pic:nvPicPr>
                  <pic:blipFill>
                    <a:blip r:embed="rId16"/>
                    <a:stretch>
                      <a:fillRect/>
                    </a:stretch>
                  </pic:blipFill>
                  <pic:spPr>
                    <a:xfrm>
                      <a:off x="0" y="0"/>
                      <a:ext cx="5486400" cy="2117934"/>
                    </a:xfrm>
                    <a:prstGeom prst="rect"/>
                  </pic:spPr>
                </pic:pic>
              </a:graphicData>
            </a:graphic>
          </wp:inline>
        </w:drawing>
      </w:r>
    </w:p>
    <w:p>
      <w:pPr>
        <w:jc w:val="center"/>
      </w:pPr>
      <w:r>
        <w:rPr>
          <w:i/>
          <w:sz w:val="20"/>
        </w:rPr>
        <w:t>Şekil 8: Performans Metrikleri ve ROC Eğrisi Karşılaştırması</w:t>
      </w:r>
    </w:p>
    <w:p/>
    <w:p>
      <w:pPr>
        <w:jc w:val="center"/>
      </w:pPr>
      <w:r>
        <w:drawing>
          <wp:inline xmlns:a="http://schemas.openxmlformats.org/drawingml/2006/main" xmlns:pic="http://schemas.openxmlformats.org/drawingml/2006/picture">
            <wp:extent cx="5486400" cy="2042735"/>
            <wp:docPr id="9" name="Picture 9"/>
            <wp:cNvGraphicFramePr>
              <a:graphicFrameLocks noChangeAspect="1"/>
            </wp:cNvGraphicFramePr>
            <a:graphic>
              <a:graphicData uri="http://schemas.openxmlformats.org/drawingml/2006/picture">
                <pic:pic>
                  <pic:nvPicPr>
                    <pic:cNvPr id="0" name="cell_32_img_08.png"/>
                    <pic:cNvPicPr/>
                  </pic:nvPicPr>
                  <pic:blipFill>
                    <a:blip r:embed="rId17"/>
                    <a:stretch>
                      <a:fillRect/>
                    </a:stretch>
                  </pic:blipFill>
                  <pic:spPr>
                    <a:xfrm>
                      <a:off x="0" y="0"/>
                      <a:ext cx="5486400" cy="2042735"/>
                    </a:xfrm>
                    <a:prstGeom prst="rect"/>
                  </pic:spPr>
                </pic:pic>
              </a:graphicData>
            </a:graphic>
          </wp:inline>
        </w:drawing>
      </w:r>
    </w:p>
    <w:p>
      <w:pPr>
        <w:jc w:val="center"/>
      </w:pPr>
      <w:r>
        <w:rPr>
          <w:i/>
          <w:sz w:val="20"/>
        </w:rPr>
        <w:t>Şekil 9: Eğitim Süreçleri Karşılaştırması (Accuracy ve Loss)</w:t>
      </w:r>
    </w:p>
    <w:p/>
    <w:p>
      <w:r>
        <w:br w:type="page"/>
      </w:r>
    </w:p>
    <w:p>
      <w:pPr>
        <w:pStyle w:val="Heading1"/>
      </w:pPr>
      <w:r>
        <w:t>5. Yorumlar ve Değerlendirme</w:t>
      </w:r>
    </w:p>
    <w:p>
      <w:pPr>
        <w:pStyle w:val="Heading2"/>
      </w:pPr>
      <w:r>
        <w:t>5.1. Model Mimarisi</w:t>
      </w:r>
    </w:p>
    <w:p>
      <w:r>
        <w:t>Her iki modelde de ImageNet ağırlıkları kullanılarak transfer learning uygulanmıştır. Base model katmanları dondurulmuş (freeze edilmiş), sadece eklenen Dense ve Dropout katmanları eğitilmiştir. Bu yaklaşım, sınırlı veri ile bile yüksek doğruluk oranları elde edilmesini sağlamıştır. Dropout (0.5) katmanı ile overfitting riski azaltılmıştır.</w:t>
      </w:r>
    </w:p>
    <w:p>
      <w:pPr>
        <w:pStyle w:val="Heading2"/>
      </w:pPr>
      <w:r>
        <w:t>5.2. Hiperparametre Seçimleri</w:t>
      </w:r>
    </w:p>
    <w:p>
      <w:r>
        <w:t>Adam optimizer, adaptif öğrenme hızı mekanizması sayesinde hızlı ve kararlı yakınsama sağlamıştır. Başlangıç öğrenme hızı 0.001 olarak belirlenmiş olup, ReduceLROnPlateau callback'i sayesinde validasyon kaybı 5 epoch boyunca iyileşmediğinde öğrenme hızı 10 kat düşürülerek daha ince ayar yapılması sağlanmıştır. Early Stopping (patience=25) mekanizması ile gereksiz epoch'lar önlenmiş ve en iyi model ağırlıkları otomatik olarak geri yüklenmiştir.</w:t>
      </w:r>
    </w:p>
    <w:p>
      <w:pPr>
        <w:pStyle w:val="Heading2"/>
      </w:pPr>
      <w:r>
        <w:t>5.3. Veri Arttırımı Etkisi</w:t>
      </w:r>
    </w:p>
    <w:p>
      <w:r>
        <w:t>Eğitim verisine rotation (10°), width/height shift (%10), shear (%10), zoom (%10) ve horizontal flip uygulanmıştır. Bu teknikler, modelin farklı açı, pozisyon ve ölçeklerdeki yüz görüntülerini tanıma yeteneğini artırmıştır. Validasyon ve test setlerine augmentation uygulanmamıştır, bu sayede model performansı gerçekçi bir şekilde değerlendirilmiştir.</w:t>
      </w:r>
    </w:p>
    <w:p>
      <w:pPr>
        <w:pStyle w:val="Heading2"/>
      </w:pPr>
      <w:r>
        <w:t>5.4. Model Karşılaştırması</w:t>
      </w:r>
    </w:p>
    <w:p>
      <w:r>
        <w:t>DenseNet121, "dense connection" mimarisi sayesinde her katmanın önceki tüm katmanlardan bilgi almasını sağlar. Bu, gradient vanishing problemini azaltır ve daha derin özellik çıkarımı yapabilir. 7.4 milyon parametreye sahiptir ancak sadece 369K tanesi eğitilmiştir.</w:t>
      </w:r>
    </w:p>
    <w:p>
      <w:r>
        <w:t>MobileNetV1, depthwise separable convolution kullanarak hesaplama maliyetini düşürür. 3.6 milyon parametre ile DenseNet121'in yarısı kadar boyuttadır. Daha hızlı eğitim ve inference süreleri sunar, mobil cihazlara uygundur.</w:t>
      </w:r>
    </w:p>
    <w:p>
      <w:r>
        <w:t>Her iki model de yüz maskesi tespitinde %99+ doğruluk ile mükemmele yakın sonuçlar üretmiştir. DenseNet121 marjinal olarak daha iyi performans göstermiş olsa da, MobileNetV1'in hafif yapısı real-time uygulamalar için avantaj sağlamaktadır.</w:t>
      </w:r>
    </w:p>
    <w:p>
      <w:pPr>
        <w:pStyle w:val="Heading1"/>
      </w:pPr>
      <w:r>
        <w:t>6. Sonuç</w:t>
      </w:r>
    </w:p>
    <w:p>
      <w:r>
        <w:t>Bu çalışmada, transfer learning yöntemi ile DenseNet121 ve MobileNetV1 modellerinin yüz maskesi tespitindeki performansları karşılaştırılmıştır. Her iki model de %99+ doğruluk oranına ulaşmış olup, DenseNet121 %99.54 accuracy ile en iyi sonucu vermiştir.</w:t>
      </w:r>
    </w:p>
    <w:p>
      <w:r>
        <w:t>Transfer learning, sınırlı veri ile bile yüksek performans elde edilmesini sağlamıştır. Data augmentation teknikleri modelin genelleme yeteneğini artırmış, Early Stopping ve ReduceLROnPlateau mekanizmaları eğitim sürecinin optimize edilmesine katkıda bulunmuştur. flow_from_directory yöntemi ile bellek verimli bir eğitim süreci gerçekleştirilmiştir.</w:t>
      </w:r>
    </w:p>
    <w:p>
      <w:pPr>
        <w:pStyle w:val="Heading1"/>
      </w:pPr>
      <w:r>
        <w:t>7. Kaynaklar</w:t>
      </w:r>
    </w:p>
    <w:p>
      <w:r>
        <w:t>[1] Omkar Gurav, "Face Mask Detection Dataset", Kaggle, https://www.kaggle.com/datasets/omkargurav/face-mask-dataset</w:t>
      </w:r>
    </w:p>
    <w:p>
      <w:r>
        <w:t>[2] G. Huang, Z. Liu, L. Van Der Maaten, K. Q. Weinberger, "Densely Connected Convolutional Networks", CVPR 2017.</w:t>
      </w:r>
    </w:p>
    <w:p>
      <w:r>
        <w:t>[3] A. G. Howard et al., "MobileNets: Efficient Convolutional Neural Networks for Mobile Vision Applications", arXiv:1704.04861, 2017.</w:t>
      </w:r>
    </w:p>
    <w:p>
      <w:r>
        <w:t>[4] TensorFlow Documentation, https://www.tensorflow.org/api_docs</w:t>
      </w:r>
    </w:p>
    <w:p>
      <w:r>
        <w:t>[5] Keras Applications, https://keras.io/api/applications/</w:t>
      </w:r>
    </w:p>
    <w:p/>
    <w:p/>
    <w:p>
      <w:r>
        <w:rPr>
          <w:b/>
          <w:sz w:val="24"/>
        </w:rPr>
        <w:t xml:space="preserve">GitHub Repository: </w:t>
      </w:r>
      <w:r>
        <w:t>https://github.com/akkefelioglu/derin-ogrenme</w:t>
      </w:r>
    </w:p>
    <w:p>
      <w:r>
        <w:rPr>
          <w:b/>
          <w:sz w:val="24"/>
        </w:rPr>
        <w:t xml:space="preserve">Colab Notebook: </w:t>
      </w:r>
      <w:r>
        <w:t>https://colab.research.google.com/drive/1sBsm1b_uCVPwbpw6QsED-lFrxBGkz23g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