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4"/>
          <w:szCs w:val="34"/>
        </w:rPr>
        <w:t xml:space="preserve">AI Governance &amp; Decisioning Layer for Segment CDP</w:t>
      </w:r>
    </w:p>
    <w:p>
      <w:pPr>
        <w:spacing w:after="200"/>
      </w:pPr>
      <w:r>
        <w:rPr>
          <w:i/>
          <w:iCs/>
          <w:color w:val="595959"/>
          <w:sz w:val="20"/>
          <w:szCs w:val="20"/>
        </w:rPr>
        <w:t xml:space="preserve">One-Pager for Management Review  |  MVP / Proof of Concept Proposal</w:t>
      </w:r>
    </w:p>
    <w:p>
      <w:pPr>
        <w:pBdr>
          <w:bottom w:val="single" w:color="1F4E79" w:sz="6" w:space="4"/>
        </w:pBdr>
        <w:spacing w:after="200"/>
      </w:pPr>
      <w:r>
        <w:rPr>
          <w:b/>
          <w:bCs/>
          <w:i/>
          <w:iCs/>
          <w:color w:val="000000"/>
          <w:sz w:val="22"/>
          <w:szCs w:val="22"/>
        </w:rPr>
        <w:t xml:space="preserve">“An AI-native control plane for the Customer Data Platform: AI that understands customer data, governs how it can be used, and recommends what the business should do next.”</w:t>
      </w:r>
    </w:p>
    <w:p>
      <w:pPr>
        <w:pStyle w:val="Heading2"/>
        <w:spacing w:after="100" w:before="240"/>
      </w:pPr>
      <w:r>
        <w:rPr>
          <w:b/>
          <w:bCs/>
          <w:color w:val="1F4E79"/>
          <w:sz w:val="24"/>
          <w:szCs w:val="24"/>
        </w:rPr>
        <w:t xml:space="preserve">The Problem</w:t>
      </w:r>
    </w:p>
    <w:p>
      <w:pPr>
        <w:spacing w:after="100"/>
      </w:pPr>
      <w:r>
        <w:rPr>
          <w:sz w:val="21"/>
          <w:szCs w:val="21"/>
        </w:rPr>
        <w:t xml:space="preserve">Segment (and CDPs broadly) enforce data quality and privacy today through static, rule-based configuration — tracking plans, Protocols, manual consent flags. This works, but it doesn't scale with schema drift, doesn't explain its own decisions, and doesn't catch sensitive data leaking through unstructured fields (chat logs, free-text notes). Governance stays reactive rather than intelligent.</w:t>
      </w:r>
    </w:p>
    <w:p>
      <w:pPr>
        <w:pStyle w:val="Heading2"/>
        <w:spacing w:after="100" w:before="240"/>
      </w:pPr>
      <w:r>
        <w:rPr>
          <w:b/>
          <w:bCs/>
          <w:color w:val="1F4E79"/>
          <w:sz w:val="24"/>
          <w:szCs w:val="24"/>
        </w:rPr>
        <w:t xml:space="preserve">The Proposal</w:t>
      </w:r>
    </w:p>
    <w:p>
      <w:pPr>
        <w:spacing w:after="100"/>
      </w:pPr>
      <w:r>
        <w:rPr>
          <w:sz w:val="21"/>
          <w:szCs w:val="21"/>
        </w:rPr>
        <w:t xml:space="preserve">Build a thin AI layer on top of Segment that continuously classifies, governs, and advises on customer data as it flows through the pipeline — via three focused agents:</w:t>
      </w:r>
    </w:p>
    <w:p>
      <w:pPr>
        <w:pStyle w:val="ListParagraph"/>
        <w:numPr>
          <w:ilvl w:val="0"/>
          <w:numId w:val="2"/>
        </w:numPr>
        <w:spacing w:after="40"/>
      </w:pPr>
      <w:r>
        <w:rPr>
          <w:sz w:val="21"/>
          <w:szCs w:val="21"/>
        </w:rPr>
        <w:t xml:space="preserve">Data Guardian — schema interpretation, PII/sensitive-field detection, anomaly and drift detection on incoming events.</w:t>
      </w:r>
    </w:p>
    <w:p>
      <w:pPr>
        <w:pStyle w:val="ListParagraph"/>
        <w:numPr>
          <w:ilvl w:val="0"/>
          <w:numId w:val="2"/>
        </w:numPr>
        <w:spacing w:after="40"/>
      </w:pPr>
      <w:r>
        <w:rPr>
          <w:sz w:val="21"/>
          <w:szCs w:val="21"/>
        </w:rPr>
        <w:t xml:space="preserve">Privacy &amp; Governance Guardian — consent validation, policy enforcement, destination-level restrictions, and lineage/compliance auditing before activation.</w:t>
      </w:r>
    </w:p>
    <w:p>
      <w:pPr>
        <w:pStyle w:val="ListParagraph"/>
        <w:numPr>
          <w:ilvl w:val="0"/>
          <w:numId w:val="2"/>
        </w:numPr>
        <w:spacing w:after="40"/>
      </w:pPr>
      <w:r>
        <w:rPr>
          <w:sz w:val="21"/>
          <w:szCs w:val="21"/>
        </w:rPr>
        <w:t xml:space="preserve">Customer Intelligence Agent — Customer 360 summarization, natural-language segment creation, and propensity-based next-best-action, gated by the two agents above.</w:t>
      </w:r>
    </w:p>
    <w:p>
      <w:pPr>
        <w:pStyle w:val="Heading2"/>
        <w:spacing w:after="100" w:before="240"/>
      </w:pPr>
      <w:r>
        <w:rPr>
          <w:b/>
          <w:bCs/>
          <w:color w:val="1F4E79"/>
          <w:sz w:val="24"/>
          <w:szCs w:val="24"/>
        </w:rPr>
        <w:t xml:space="preserve">The Demo (Synthetic Data Only)</w:t>
      </w:r>
    </w:p>
    <w:p>
      <w:pPr>
        <w:spacing w:after="100"/>
      </w:pPr>
      <w:r>
        <w:rPr>
          <w:sz w:val="21"/>
          <w:szCs w:val="21"/>
        </w:rPr>
        <w:t xml:space="preserve">A single narrative: a customer's behavior generates a high-propensity audience → governance agent scans the audience → blocks/masks non-consented and sensitive records (PAN, income) → recommends remediation → approved audience activates to a marketing destination → outcome is measured. This demonstrates data intelligence, policy enforcement, and business decisioning in one flow — not just a chatbot over customer data.</w:t>
      </w:r>
    </w:p>
    <w:p>
      <w:pPr>
        <w:pStyle w:val="Heading2"/>
        <w:spacing w:after="100" w:before="240"/>
      </w:pPr>
      <w:r>
        <w:rPr>
          <w:b/>
          <w:bCs/>
          <w:color w:val="1F4E79"/>
          <w:sz w:val="24"/>
          <w:szCs w:val="24"/>
        </w:rPr>
        <w:t xml:space="preserve">Scope, Effort &amp; Risk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shd w:fill="EAF1F8" w:color="auto" w:val="clear"/>
            <w:tcMar>
              <w:top w:type="dxa" w:w="80"/>
              <w:left w:type="dxa" w:w="100"/>
              <w:bottom w:type="dxa" w:w="80"/>
              <w:right w:type="dxa" w:w="100"/>
            </w:tcMar>
          </w:tcPr>
          <w:p>
            <w:r>
              <w:rPr>
                <w:b/>
                <w:bCs/>
                <w:color w:val="1F4E79"/>
                <w:sz w:val="20"/>
                <w:szCs w:val="20"/>
              </w:rPr>
              <w:t xml:space="preserve">Data used</w:t>
            </w:r>
          </w:p>
        </w:tc>
        <w:tc>
          <w:tcPr>
            <w:tcW w:type="dxa" w:w="6900"/>
            <w:shd w:fill="EAF1F8" w:color="auto" w:val="clear"/>
            <w:tcMar>
              <w:top w:type="dxa" w:w="80"/>
              <w:left w:type="dxa" w:w="100"/>
              <w:bottom w:type="dxa" w:w="80"/>
              <w:right w:type="dxa" w:w="100"/>
            </w:tcMar>
          </w:tcPr>
          <w:p>
            <w:r>
              <w:rPr>
                <w:sz w:val="20"/>
                <w:szCs w:val="20"/>
              </w:rPr>
              <w:t xml:space="preserve">100% synthetic / fabricated records. No production PII, no live customer data, at any stage.</w:t>
            </w:r>
          </w:p>
        </w:tc>
      </w:tr>
      <w:tr>
        <w:tc>
          <w:tcPr>
            <w:tcW w:type="dxa" w:w="3000"/>
            <w:tcMar>
              <w:top w:type="dxa" w:w="80"/>
              <w:left w:type="dxa" w:w="100"/>
              <w:bottom w:type="dxa" w:w="80"/>
              <w:right w:type="dxa" w:w="100"/>
            </w:tcMar>
          </w:tcPr>
          <w:p>
            <w:r>
              <w:rPr>
                <w:b/>
                <w:bCs/>
                <w:color w:val="1F4E79"/>
                <w:sz w:val="20"/>
                <w:szCs w:val="20"/>
              </w:rPr>
              <w:t xml:space="preserve">Estimated effort</w:t>
            </w:r>
          </w:p>
        </w:tc>
        <w:tc>
          <w:tcPr>
            <w:tcW w:type="dxa" w:w="6900"/>
            <w:tcMar>
              <w:top w:type="dxa" w:w="80"/>
              <w:left w:type="dxa" w:w="100"/>
              <w:bottom w:type="dxa" w:w="80"/>
              <w:right w:type="dxa" w:w="100"/>
            </w:tcMar>
          </w:tcPr>
          <w:p>
            <w:r>
              <w:rPr>
                <w:sz w:val="20"/>
                <w:szCs w:val="20"/>
              </w:rPr>
              <w:t xml:space="preserve">2–3 weeks, 1 engineer, for a working demo of Data Guardian + Privacy Guardian on synthetic events.</w:t>
            </w:r>
          </w:p>
        </w:tc>
      </w:tr>
      <w:tr>
        <w:tc>
          <w:tcPr>
            <w:tcW w:type="dxa" w:w="3000"/>
            <w:shd w:fill="EAF1F8" w:color="auto" w:val="clear"/>
            <w:tcMar>
              <w:top w:type="dxa" w:w="80"/>
              <w:left w:type="dxa" w:w="100"/>
              <w:bottom w:type="dxa" w:w="80"/>
              <w:right w:type="dxa" w:w="100"/>
            </w:tcMar>
          </w:tcPr>
          <w:p>
            <w:r>
              <w:rPr>
                <w:b/>
                <w:bCs/>
                <w:color w:val="1F4E79"/>
                <w:sz w:val="20"/>
                <w:szCs w:val="20"/>
              </w:rPr>
              <w:t xml:space="preserve">Environment</w:t>
            </w:r>
          </w:p>
        </w:tc>
        <w:tc>
          <w:tcPr>
            <w:tcW w:type="dxa" w:w="6900"/>
            <w:shd w:fill="EAF1F8" w:color="auto" w:val="clear"/>
            <w:tcMar>
              <w:top w:type="dxa" w:w="80"/>
              <w:left w:type="dxa" w:w="100"/>
              <w:bottom w:type="dxa" w:w="80"/>
              <w:right w:type="dxa" w:w="100"/>
            </w:tcMar>
          </w:tcPr>
          <w:p>
            <w:r>
              <w:rPr>
                <w:sz w:val="20"/>
                <w:szCs w:val="20"/>
              </w:rPr>
              <w:t xml:space="preserve">Sandboxed Segment workspace + LLM API calls for classification/reasoning; no integration to production destinations.</w:t>
            </w:r>
          </w:p>
        </w:tc>
      </w:tr>
      <w:tr>
        <w:tc>
          <w:tcPr>
            <w:tcW w:type="dxa" w:w="3000"/>
            <w:tcMar>
              <w:top w:type="dxa" w:w="80"/>
              <w:left w:type="dxa" w:w="100"/>
              <w:bottom w:type="dxa" w:w="80"/>
              <w:right w:type="dxa" w:w="100"/>
            </w:tcMar>
          </w:tcPr>
          <w:p>
            <w:r>
              <w:rPr>
                <w:b/>
                <w:bCs/>
                <w:color w:val="1F4E79"/>
                <w:sz w:val="20"/>
                <w:szCs w:val="20"/>
              </w:rPr>
              <w:t xml:space="preserve">Key risk</w:t>
            </w:r>
          </w:p>
        </w:tc>
        <w:tc>
          <w:tcPr>
            <w:tcW w:type="dxa" w:w="6900"/>
            <w:tcMar>
              <w:top w:type="dxa" w:w="80"/>
              <w:left w:type="dxa" w:w="100"/>
              <w:bottom w:type="dxa" w:w="80"/>
              <w:right w:type="dxa" w:w="100"/>
            </w:tcMar>
          </w:tcPr>
          <w:p>
            <w:r>
              <w:rPr>
                <w:sz w:val="20"/>
                <w:szCs w:val="20"/>
              </w:rPr>
              <w:t xml:space="preserve">None to production systems by design. Primary risk is scope creep — recommend fixing the demo script (above) before building.</w:t>
            </w:r>
          </w:p>
        </w:tc>
      </w:tr>
      <w:tr>
        <w:tc>
          <w:tcPr>
            <w:tcW w:type="dxa" w:w="3000"/>
            <w:shd w:fill="EAF1F8" w:color="auto" w:val="clear"/>
            <w:tcMar>
              <w:top w:type="dxa" w:w="80"/>
              <w:left w:type="dxa" w:w="100"/>
              <w:bottom w:type="dxa" w:w="80"/>
              <w:right w:type="dxa" w:w="100"/>
            </w:tcMar>
          </w:tcPr>
          <w:p>
            <w:r>
              <w:rPr>
                <w:b/>
                <w:bCs/>
                <w:color w:val="1F4E79"/>
                <w:sz w:val="20"/>
                <w:szCs w:val="20"/>
              </w:rPr>
              <w:t xml:space="preserve">Not in scope (v1)</w:t>
            </w:r>
          </w:p>
        </w:tc>
        <w:tc>
          <w:tcPr>
            <w:tcW w:type="dxa" w:w="6900"/>
            <w:shd w:fill="EAF1F8" w:color="auto" w:val="clear"/>
            <w:tcMar>
              <w:top w:type="dxa" w:w="80"/>
              <w:left w:type="dxa" w:w="100"/>
              <w:bottom w:type="dxa" w:w="80"/>
              <w:right w:type="dxa" w:w="100"/>
            </w:tcMar>
          </w:tcPr>
          <w:p>
            <w:r>
              <w:rPr>
                <w:sz w:val="20"/>
                <w:szCs w:val="20"/>
              </w:rPr>
              <w:t xml:space="preserve">Identity resolution merge UI, journey optimization, and audience-optimization modules — phase 2 candidates, not required for the initial pitch.</w:t>
            </w:r>
          </w:p>
        </w:tc>
      </w:tr>
    </w:tbl>
    <w:p>
      <w:pPr>
        <w:pStyle w:val="Heading2"/>
        <w:spacing w:after="100" w:before="240"/>
      </w:pPr>
      <w:r>
        <w:rPr>
          <w:b/>
          <w:bCs/>
          <w:color w:val="1F4E79"/>
          <w:sz w:val="24"/>
          <w:szCs w:val="24"/>
        </w:rPr>
        <w:t xml:space="preserve">Why This, Not Another AI-on-CDP Demo</w:t>
      </w:r>
    </w:p>
    <w:p>
      <w:pPr>
        <w:spacing w:after="100"/>
      </w:pPr>
      <w:r>
        <w:rPr>
          <w:sz w:val="21"/>
          <w:szCs w:val="21"/>
        </w:rPr>
        <w:t xml:space="preserve">Most “AI + CDP” pitches in the market lead with personalization or next-best-action — the most crowded, most vendor-saturated category. Leading with governance is deliberate: it maps directly to audit-cost and compliance-risk language that's easier to fund, it's largely undemonstrated well by competitors today, and at a regulated bank it lands as risk-reduction rather than another marketing tool.</w:t>
      </w:r>
    </w:p>
    <w:p>
      <w:pPr>
        <w:pStyle w:val="Heading2"/>
        <w:spacing w:after="100" w:before="240"/>
      </w:pPr>
      <w:r>
        <w:rPr>
          <w:b/>
          <w:bCs/>
          <w:color w:val="1F4E79"/>
          <w:sz w:val="24"/>
          <w:szCs w:val="24"/>
        </w:rPr>
        <w:t xml:space="preserve">The Ask</w:t>
      </w:r>
    </w:p>
    <w:p>
      <w:pPr>
        <w:spacing w:after="100"/>
      </w:pPr>
      <w:r>
        <w:rPr>
          <w:sz w:val="21"/>
          <w:szCs w:val="21"/>
        </w:rPr>
        <w:t xml:space="preserve">Approval to build the Phase 1 demo (Data Guardian + Privacy Guardian, synthetic data, sandboxed environment) over 2–3 weeks, for a working readout to leadership. If it lands, Phase 2 (Customer Intelligence Agent, identity resolution) follows as a scoped extension — not a blank check.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2026-08-21T11:27:01.201Z</dcterms:created>
  <dcterms:modified xsi:type="dcterms:W3CDTF">2026-08-21T11:27:01.214Z</dcterms:modified>
</cp:coreProperties>
</file>

<file path=docProps/custom.xml><?xml version="1.0" encoding="utf-8"?>
<Properties xmlns="http://schemas.openxmlformats.org/officeDocument/2006/custom-properties" xmlns:vt="http://schemas.openxmlformats.org/officeDocument/2006/docPropsVTypes"/>
</file>