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5ADBB" w14:textId="77777777" w:rsidR="006F12F5" w:rsidRDefault="00000000">
      <w:pPr>
        <w:spacing w:after="200" w:line="255" w:lineRule="auto"/>
        <w:ind w:left="0" w:firstLine="0"/>
        <w:jc w:val="center"/>
      </w:pPr>
      <w:r>
        <w:rPr>
          <w:b/>
          <w:sz w:val="36"/>
        </w:rPr>
        <w:t>Seasonality &amp; Momentum: Persistent Inefficiencies in Commodities and Crypto</w:t>
      </w:r>
    </w:p>
    <w:p w14:paraId="5696CDAD" w14:textId="77777777" w:rsidR="006F12F5" w:rsidRDefault="00000000">
      <w:pPr>
        <w:ind w:left="-5"/>
      </w:pPr>
      <w:r>
        <w:t>Alexander K. Laudano</w:t>
      </w:r>
    </w:p>
    <w:p w14:paraId="725D5184" w14:textId="77777777" w:rsidR="006F12F5" w:rsidRDefault="00000000">
      <w:pPr>
        <w:spacing w:after="590"/>
        <w:ind w:left="-5"/>
      </w:pPr>
      <w:r>
        <w:t>Applied Market Inefficiency Research — 2025</w:t>
      </w:r>
    </w:p>
    <w:p w14:paraId="010D35D5" w14:textId="77777777" w:rsidR="006F12F5" w:rsidRDefault="00000000">
      <w:pPr>
        <w:pStyle w:val="Heading1"/>
        <w:ind w:left="-5"/>
      </w:pPr>
      <w:r>
        <w:t>Executive Summary</w:t>
      </w:r>
    </w:p>
    <w:p w14:paraId="72D6F009" w14:textId="77777777" w:rsidR="006F12F5" w:rsidRDefault="00000000">
      <w:pPr>
        <w:spacing w:after="351"/>
        <w:ind w:left="-5"/>
      </w:pPr>
      <w:r>
        <w:t>This study evaluates the weak-form Efficient Market Hypothesis (EMH) across equities, commodities, and digital assets using more than two decades of historical return data. While equities show no statistically significant seasonality, agricultural commodities, gold, coffee, and Bitcoin exhibit meaningful excess returns driven by either seasonal cycles or momentum continuation. These findings provide evidence of persistent, theoretically explainable market inefficiencies.</w:t>
      </w:r>
    </w:p>
    <w:p w14:paraId="3AC38A4C" w14:textId="77777777" w:rsidR="006F12F5" w:rsidRDefault="00000000">
      <w:pPr>
        <w:pStyle w:val="Heading1"/>
        <w:ind w:left="-5"/>
      </w:pPr>
      <w:r>
        <w:t>Data &amp; Methods</w:t>
      </w:r>
    </w:p>
    <w:p w14:paraId="33B14E22" w14:textId="327ED601" w:rsidR="00E80CF2" w:rsidRPr="00E80CF2" w:rsidRDefault="00E80CF2" w:rsidP="00E80CF2">
      <w:r>
        <w:t xml:space="preserve">Historical monthly and weekly returns were obtained from </w:t>
      </w:r>
      <w:r w:rsidRPr="00E80CF2">
        <w:rPr>
          <w:i/>
          <w:iCs/>
        </w:rPr>
        <w:t>Yahoo Finance</w:t>
      </w:r>
      <w:r>
        <w:t xml:space="preserve"> and </w:t>
      </w:r>
      <w:r w:rsidRPr="00E80CF2">
        <w:rPr>
          <w:i/>
          <w:iCs/>
        </w:rPr>
        <w:t>Macrotrends.com</w:t>
      </w:r>
      <w:r>
        <w:t xml:space="preserve">, </w:t>
      </w:r>
      <w:r>
        <w:t xml:space="preserve">covering </w:t>
      </w:r>
      <w:r>
        <w:t>1915</w:t>
      </w:r>
      <w:r>
        <w:t>–2025.</w:t>
      </w:r>
    </w:p>
    <w:p w14:paraId="7A9D62BE" w14:textId="77777777" w:rsidR="006F12F5" w:rsidRDefault="00000000">
      <w:pPr>
        <w:ind w:left="-5" w:right="1239"/>
      </w:pPr>
      <w:r>
        <w:t>- Assets: Corn, Wheat, Soybeans, Cotton, Coffee, Gold, Bitcoin, and Dow Jones (control) - Return Frequency: Monthly (commodities, gold, equities), Weekly (Bitcoin) - Statistical Tests:</w:t>
      </w:r>
    </w:p>
    <w:p w14:paraId="02E20AC3" w14:textId="77777777" w:rsidR="006F12F5" w:rsidRDefault="00000000">
      <w:pPr>
        <w:numPr>
          <w:ilvl w:val="0"/>
          <w:numId w:val="1"/>
        </w:numPr>
        <w:ind w:hanging="126"/>
      </w:pPr>
      <w:r>
        <w:t>ANOVA for seasonal quarterly differences in commodities</w:t>
      </w:r>
    </w:p>
    <w:p w14:paraId="34C3985B" w14:textId="77777777" w:rsidR="006F12F5" w:rsidRDefault="00000000">
      <w:pPr>
        <w:numPr>
          <w:ilvl w:val="0"/>
          <w:numId w:val="1"/>
        </w:numPr>
        <w:ind w:hanging="126"/>
      </w:pPr>
      <w:r>
        <w:t>One-sample t-tests for momentum drift in Gold and Coffee</w:t>
      </w:r>
    </w:p>
    <w:p w14:paraId="4EB8B9C5" w14:textId="77777777" w:rsidR="006F12F5" w:rsidRDefault="00000000">
      <w:pPr>
        <w:numPr>
          <w:ilvl w:val="0"/>
          <w:numId w:val="1"/>
        </w:numPr>
        <w:ind w:hanging="126"/>
      </w:pPr>
      <w:r>
        <w:t>Wilcoxon signed-rank test for Bitcoin (non-parametric momentum)</w:t>
      </w:r>
    </w:p>
    <w:p w14:paraId="3D596818" w14:textId="46E4AA1F" w:rsidR="009C7E90" w:rsidRDefault="00000000" w:rsidP="00E80CF2">
      <w:pPr>
        <w:ind w:left="-5"/>
      </w:pPr>
      <w:r>
        <w:t xml:space="preserve">The analysis compares conditional mean returns during inefficiency conditions to unconditional </w:t>
      </w:r>
      <w:r w:rsidR="009C7E90">
        <w:t xml:space="preserve">monthly </w:t>
      </w:r>
      <w:r>
        <w:t>average returns across the full sample.</w:t>
      </w:r>
    </w:p>
    <w:p w14:paraId="0186A97E" w14:textId="77777777" w:rsidR="009C7E90" w:rsidRDefault="009C7E90">
      <w:pPr>
        <w:ind w:left="-5"/>
      </w:pPr>
    </w:p>
    <w:tbl>
      <w:tblPr>
        <w:tblStyle w:val="TableGrid"/>
        <w:tblW w:w="11199" w:type="dxa"/>
        <w:tblInd w:w="-1039" w:type="dxa"/>
        <w:tblCellMar>
          <w:top w:w="114" w:type="dxa"/>
          <w:left w:w="120" w:type="dxa"/>
          <w:right w:w="115" w:type="dxa"/>
        </w:tblCellMar>
        <w:tblLook w:val="04A0" w:firstRow="1" w:lastRow="0" w:firstColumn="1" w:lastColumn="0" w:noHBand="0" w:noVBand="1"/>
      </w:tblPr>
      <w:tblGrid>
        <w:gridCol w:w="1230"/>
        <w:gridCol w:w="2374"/>
        <w:gridCol w:w="2040"/>
        <w:gridCol w:w="2273"/>
        <w:gridCol w:w="1241"/>
        <w:gridCol w:w="2041"/>
      </w:tblGrid>
      <w:tr w:rsidR="006F12F5" w14:paraId="3A2F5153" w14:textId="77777777" w:rsidTr="009C7E90">
        <w:trPr>
          <w:trHeight w:val="360"/>
        </w:trPr>
        <w:tc>
          <w:tcPr>
            <w:tcW w:w="1230" w:type="dxa"/>
            <w:tcBorders>
              <w:top w:val="single" w:sz="4" w:space="0" w:color="000000"/>
              <w:left w:val="single" w:sz="4" w:space="0" w:color="000000"/>
              <w:bottom w:val="single" w:sz="4" w:space="0" w:color="000000"/>
              <w:right w:val="single" w:sz="4" w:space="0" w:color="000000"/>
            </w:tcBorders>
            <w:shd w:val="clear" w:color="auto" w:fill="D3D3D3"/>
          </w:tcPr>
          <w:p w14:paraId="7B55BEA6" w14:textId="77777777" w:rsidR="006F12F5" w:rsidRDefault="00000000">
            <w:pPr>
              <w:spacing w:after="0" w:line="259" w:lineRule="auto"/>
              <w:ind w:left="0" w:firstLine="0"/>
            </w:pPr>
            <w:r>
              <w:rPr>
                <w:b/>
              </w:rPr>
              <w:t>Asset</w:t>
            </w:r>
          </w:p>
        </w:tc>
        <w:tc>
          <w:tcPr>
            <w:tcW w:w="2374" w:type="dxa"/>
            <w:tcBorders>
              <w:top w:val="single" w:sz="4" w:space="0" w:color="000000"/>
              <w:left w:val="single" w:sz="4" w:space="0" w:color="000000"/>
              <w:bottom w:val="single" w:sz="4" w:space="0" w:color="000000"/>
              <w:right w:val="single" w:sz="4" w:space="0" w:color="000000"/>
            </w:tcBorders>
            <w:shd w:val="clear" w:color="auto" w:fill="D3D3D3"/>
          </w:tcPr>
          <w:p w14:paraId="237FCDB5" w14:textId="77777777" w:rsidR="006F12F5" w:rsidRDefault="00000000">
            <w:pPr>
              <w:spacing w:after="0" w:line="259" w:lineRule="auto"/>
              <w:ind w:left="0" w:firstLine="0"/>
            </w:pPr>
            <w:r>
              <w:rPr>
                <w:b/>
              </w:rPr>
              <w:t>Inefficiency Type</w:t>
            </w:r>
          </w:p>
        </w:tc>
        <w:tc>
          <w:tcPr>
            <w:tcW w:w="2040" w:type="dxa"/>
            <w:tcBorders>
              <w:top w:val="single" w:sz="4" w:space="0" w:color="000000"/>
              <w:left w:val="single" w:sz="4" w:space="0" w:color="000000"/>
              <w:bottom w:val="single" w:sz="4" w:space="0" w:color="000000"/>
              <w:right w:val="single" w:sz="4" w:space="0" w:color="000000"/>
            </w:tcBorders>
            <w:shd w:val="clear" w:color="auto" w:fill="D3D3D3"/>
          </w:tcPr>
          <w:p w14:paraId="790365B4" w14:textId="77777777" w:rsidR="006F12F5" w:rsidRDefault="00000000">
            <w:pPr>
              <w:spacing w:after="0" w:line="259" w:lineRule="auto"/>
              <w:ind w:left="0" w:firstLine="0"/>
            </w:pPr>
            <w:r>
              <w:rPr>
                <w:b/>
              </w:rPr>
              <w:t>Conditional Return</w:t>
            </w:r>
          </w:p>
        </w:tc>
        <w:tc>
          <w:tcPr>
            <w:tcW w:w="2273" w:type="dxa"/>
            <w:tcBorders>
              <w:top w:val="single" w:sz="4" w:space="0" w:color="000000"/>
              <w:left w:val="single" w:sz="4" w:space="0" w:color="000000"/>
              <w:bottom w:val="single" w:sz="4" w:space="0" w:color="000000"/>
              <w:right w:val="single" w:sz="4" w:space="0" w:color="000000"/>
            </w:tcBorders>
            <w:shd w:val="clear" w:color="auto" w:fill="D3D3D3"/>
          </w:tcPr>
          <w:p w14:paraId="12619923" w14:textId="77777777" w:rsidR="006F12F5" w:rsidRDefault="00000000">
            <w:pPr>
              <w:spacing w:after="0" w:line="259" w:lineRule="auto"/>
              <w:ind w:left="0" w:firstLine="0"/>
            </w:pPr>
            <w:r>
              <w:rPr>
                <w:b/>
              </w:rPr>
              <w:t>Unconditional Return</w:t>
            </w:r>
          </w:p>
        </w:tc>
        <w:tc>
          <w:tcPr>
            <w:tcW w:w="1241" w:type="dxa"/>
            <w:tcBorders>
              <w:top w:val="single" w:sz="4" w:space="0" w:color="000000"/>
              <w:left w:val="single" w:sz="4" w:space="0" w:color="000000"/>
              <w:bottom w:val="single" w:sz="4" w:space="0" w:color="000000"/>
              <w:right w:val="single" w:sz="4" w:space="0" w:color="000000"/>
            </w:tcBorders>
            <w:shd w:val="clear" w:color="auto" w:fill="D3D3D3"/>
          </w:tcPr>
          <w:p w14:paraId="453C9906" w14:textId="77777777" w:rsidR="006F12F5" w:rsidRDefault="00000000">
            <w:pPr>
              <w:spacing w:after="0" w:line="259" w:lineRule="auto"/>
              <w:ind w:left="0" w:firstLine="0"/>
            </w:pPr>
            <w:r>
              <w:rPr>
                <w:b/>
              </w:rPr>
              <w:t>Excess (</w:t>
            </w:r>
            <w:r>
              <w:rPr>
                <w:rFonts w:ascii="Segoe UI Symbol" w:eastAsia="Segoe UI Symbol" w:hAnsi="Segoe UI Symbol" w:cs="Segoe UI Symbol"/>
              </w:rPr>
              <w:t>∆</w:t>
            </w:r>
            <w:r>
              <w:rPr>
                <w:b/>
              </w:rPr>
              <w:t>)</w:t>
            </w:r>
          </w:p>
        </w:tc>
        <w:tc>
          <w:tcPr>
            <w:tcW w:w="2041" w:type="dxa"/>
            <w:tcBorders>
              <w:top w:val="single" w:sz="4" w:space="0" w:color="000000"/>
              <w:left w:val="single" w:sz="4" w:space="0" w:color="000000"/>
              <w:bottom w:val="single" w:sz="4" w:space="0" w:color="000000"/>
              <w:right w:val="single" w:sz="4" w:space="0" w:color="000000"/>
            </w:tcBorders>
            <w:shd w:val="clear" w:color="auto" w:fill="D3D3D3"/>
          </w:tcPr>
          <w:p w14:paraId="40C755B1" w14:textId="77777777" w:rsidR="006F12F5" w:rsidRDefault="00000000">
            <w:pPr>
              <w:spacing w:after="0" w:line="259" w:lineRule="auto"/>
              <w:ind w:left="0" w:firstLine="0"/>
            </w:pPr>
            <w:r>
              <w:rPr>
                <w:b/>
              </w:rPr>
              <w:t>Significance</w:t>
            </w:r>
          </w:p>
        </w:tc>
      </w:tr>
      <w:tr w:rsidR="006F12F5" w14:paraId="602488D3" w14:textId="77777777" w:rsidTr="009C7E90">
        <w:trPr>
          <w:trHeight w:val="360"/>
        </w:trPr>
        <w:tc>
          <w:tcPr>
            <w:tcW w:w="1230" w:type="dxa"/>
            <w:tcBorders>
              <w:top w:val="single" w:sz="4" w:space="0" w:color="000000"/>
              <w:left w:val="single" w:sz="4" w:space="0" w:color="000000"/>
              <w:bottom w:val="single" w:sz="4" w:space="0" w:color="000000"/>
              <w:right w:val="single" w:sz="4" w:space="0" w:color="000000"/>
            </w:tcBorders>
          </w:tcPr>
          <w:p w14:paraId="444FB7D1" w14:textId="77777777" w:rsidR="006F12F5" w:rsidRDefault="00000000">
            <w:pPr>
              <w:spacing w:after="0" w:line="259" w:lineRule="auto"/>
              <w:ind w:left="0" w:firstLine="0"/>
            </w:pPr>
            <w:r>
              <w:t>Corn</w:t>
            </w:r>
          </w:p>
        </w:tc>
        <w:tc>
          <w:tcPr>
            <w:tcW w:w="2374" w:type="dxa"/>
            <w:tcBorders>
              <w:top w:val="single" w:sz="4" w:space="0" w:color="000000"/>
              <w:left w:val="single" w:sz="4" w:space="0" w:color="000000"/>
              <w:bottom w:val="single" w:sz="4" w:space="0" w:color="000000"/>
              <w:right w:val="single" w:sz="4" w:space="0" w:color="000000"/>
            </w:tcBorders>
          </w:tcPr>
          <w:p w14:paraId="414B9E86" w14:textId="77777777" w:rsidR="006F12F5" w:rsidRDefault="00000000">
            <w:pPr>
              <w:spacing w:after="0" w:line="259" w:lineRule="auto"/>
              <w:ind w:left="0" w:firstLine="0"/>
            </w:pPr>
            <w:r>
              <w:t>Q4 seasonality</w:t>
            </w:r>
          </w:p>
        </w:tc>
        <w:tc>
          <w:tcPr>
            <w:tcW w:w="2040" w:type="dxa"/>
            <w:tcBorders>
              <w:top w:val="single" w:sz="4" w:space="0" w:color="000000"/>
              <w:left w:val="single" w:sz="4" w:space="0" w:color="000000"/>
              <w:bottom w:val="single" w:sz="4" w:space="0" w:color="000000"/>
              <w:right w:val="single" w:sz="4" w:space="0" w:color="000000"/>
            </w:tcBorders>
          </w:tcPr>
          <w:p w14:paraId="0D0D4D1B" w14:textId="77777777" w:rsidR="006F12F5" w:rsidRDefault="00000000">
            <w:pPr>
              <w:spacing w:after="0" w:line="259" w:lineRule="auto"/>
              <w:ind w:left="0" w:firstLine="0"/>
            </w:pPr>
            <w:r>
              <w:t>+2.15%</w:t>
            </w:r>
          </w:p>
        </w:tc>
        <w:tc>
          <w:tcPr>
            <w:tcW w:w="2273" w:type="dxa"/>
            <w:tcBorders>
              <w:top w:val="single" w:sz="4" w:space="0" w:color="000000"/>
              <w:left w:val="single" w:sz="4" w:space="0" w:color="000000"/>
              <w:bottom w:val="single" w:sz="4" w:space="0" w:color="000000"/>
              <w:right w:val="single" w:sz="4" w:space="0" w:color="000000"/>
            </w:tcBorders>
          </w:tcPr>
          <w:p w14:paraId="5253B0CA" w14:textId="77777777" w:rsidR="006F12F5" w:rsidRDefault="00000000">
            <w:pPr>
              <w:spacing w:after="0" w:line="259" w:lineRule="auto"/>
              <w:ind w:left="0" w:firstLine="0"/>
            </w:pPr>
            <w:r>
              <w:t>+0.05%</w:t>
            </w:r>
          </w:p>
        </w:tc>
        <w:tc>
          <w:tcPr>
            <w:tcW w:w="1241" w:type="dxa"/>
            <w:tcBorders>
              <w:top w:val="single" w:sz="4" w:space="0" w:color="000000"/>
              <w:left w:val="single" w:sz="4" w:space="0" w:color="000000"/>
              <w:bottom w:val="single" w:sz="4" w:space="0" w:color="000000"/>
              <w:right w:val="single" w:sz="4" w:space="0" w:color="000000"/>
            </w:tcBorders>
          </w:tcPr>
          <w:p w14:paraId="6FB2271F" w14:textId="77777777" w:rsidR="006F12F5" w:rsidRDefault="00000000">
            <w:pPr>
              <w:spacing w:after="0" w:line="259" w:lineRule="auto"/>
              <w:ind w:left="0" w:firstLine="0"/>
            </w:pPr>
            <w:r>
              <w:t>+2.10 pp</w:t>
            </w:r>
          </w:p>
        </w:tc>
        <w:tc>
          <w:tcPr>
            <w:tcW w:w="2041" w:type="dxa"/>
            <w:tcBorders>
              <w:top w:val="single" w:sz="4" w:space="0" w:color="000000"/>
              <w:left w:val="single" w:sz="4" w:space="0" w:color="000000"/>
              <w:bottom w:val="single" w:sz="4" w:space="0" w:color="000000"/>
              <w:right w:val="single" w:sz="4" w:space="0" w:color="000000"/>
            </w:tcBorders>
          </w:tcPr>
          <w:p w14:paraId="2093C620" w14:textId="77777777" w:rsidR="006F12F5" w:rsidRDefault="00000000">
            <w:pPr>
              <w:spacing w:after="0" w:line="259" w:lineRule="auto"/>
              <w:ind w:left="0" w:firstLine="0"/>
            </w:pPr>
            <w:r>
              <w:t>F = 13.23, p &lt; 0.001</w:t>
            </w:r>
          </w:p>
        </w:tc>
      </w:tr>
      <w:tr w:rsidR="006F12F5" w14:paraId="5417F9D0" w14:textId="77777777" w:rsidTr="009C7E90">
        <w:trPr>
          <w:trHeight w:val="360"/>
        </w:trPr>
        <w:tc>
          <w:tcPr>
            <w:tcW w:w="1230" w:type="dxa"/>
            <w:tcBorders>
              <w:top w:val="single" w:sz="4" w:space="0" w:color="000000"/>
              <w:left w:val="single" w:sz="4" w:space="0" w:color="000000"/>
              <w:bottom w:val="single" w:sz="4" w:space="0" w:color="000000"/>
              <w:right w:val="single" w:sz="4" w:space="0" w:color="000000"/>
            </w:tcBorders>
          </w:tcPr>
          <w:p w14:paraId="74A1E044" w14:textId="77777777" w:rsidR="006F12F5" w:rsidRDefault="00000000">
            <w:pPr>
              <w:spacing w:after="0" w:line="259" w:lineRule="auto"/>
              <w:ind w:left="0" w:firstLine="0"/>
            </w:pPr>
            <w:r>
              <w:t>Wheat</w:t>
            </w:r>
          </w:p>
        </w:tc>
        <w:tc>
          <w:tcPr>
            <w:tcW w:w="2374" w:type="dxa"/>
            <w:tcBorders>
              <w:top w:val="single" w:sz="4" w:space="0" w:color="000000"/>
              <w:left w:val="single" w:sz="4" w:space="0" w:color="000000"/>
              <w:bottom w:val="single" w:sz="4" w:space="0" w:color="000000"/>
              <w:right w:val="single" w:sz="4" w:space="0" w:color="000000"/>
            </w:tcBorders>
          </w:tcPr>
          <w:p w14:paraId="012573D6" w14:textId="77777777" w:rsidR="006F12F5" w:rsidRDefault="00000000">
            <w:pPr>
              <w:spacing w:after="0" w:line="259" w:lineRule="auto"/>
              <w:ind w:left="0" w:firstLine="0"/>
            </w:pPr>
            <w:r>
              <w:t>Q4 seasonality</w:t>
            </w:r>
          </w:p>
        </w:tc>
        <w:tc>
          <w:tcPr>
            <w:tcW w:w="2040" w:type="dxa"/>
            <w:tcBorders>
              <w:top w:val="single" w:sz="4" w:space="0" w:color="000000"/>
              <w:left w:val="single" w:sz="4" w:space="0" w:color="000000"/>
              <w:bottom w:val="single" w:sz="4" w:space="0" w:color="000000"/>
              <w:right w:val="single" w:sz="4" w:space="0" w:color="000000"/>
            </w:tcBorders>
          </w:tcPr>
          <w:p w14:paraId="14D99836" w14:textId="77777777" w:rsidR="006F12F5" w:rsidRDefault="00000000">
            <w:pPr>
              <w:spacing w:after="0" w:line="259" w:lineRule="auto"/>
              <w:ind w:left="0" w:firstLine="0"/>
            </w:pPr>
            <w:r>
              <w:t>+2.50%</w:t>
            </w:r>
          </w:p>
        </w:tc>
        <w:tc>
          <w:tcPr>
            <w:tcW w:w="2273" w:type="dxa"/>
            <w:tcBorders>
              <w:top w:val="single" w:sz="4" w:space="0" w:color="000000"/>
              <w:left w:val="single" w:sz="4" w:space="0" w:color="000000"/>
              <w:bottom w:val="single" w:sz="4" w:space="0" w:color="000000"/>
              <w:right w:val="single" w:sz="4" w:space="0" w:color="000000"/>
            </w:tcBorders>
          </w:tcPr>
          <w:p w14:paraId="7AB0FD52" w14:textId="77777777" w:rsidR="006F12F5" w:rsidRDefault="00000000">
            <w:pPr>
              <w:spacing w:after="0" w:line="259" w:lineRule="auto"/>
              <w:ind w:left="0" w:firstLine="0"/>
            </w:pPr>
            <w:r>
              <w:t>+0.48%</w:t>
            </w:r>
          </w:p>
        </w:tc>
        <w:tc>
          <w:tcPr>
            <w:tcW w:w="1241" w:type="dxa"/>
            <w:tcBorders>
              <w:top w:val="single" w:sz="4" w:space="0" w:color="000000"/>
              <w:left w:val="single" w:sz="4" w:space="0" w:color="000000"/>
              <w:bottom w:val="single" w:sz="4" w:space="0" w:color="000000"/>
              <w:right w:val="single" w:sz="4" w:space="0" w:color="000000"/>
            </w:tcBorders>
          </w:tcPr>
          <w:p w14:paraId="72F336D9" w14:textId="77777777" w:rsidR="006F12F5" w:rsidRDefault="00000000">
            <w:pPr>
              <w:spacing w:after="0" w:line="259" w:lineRule="auto"/>
              <w:ind w:left="0" w:firstLine="0"/>
            </w:pPr>
            <w:r>
              <w:t>+2.02 pp</w:t>
            </w:r>
          </w:p>
        </w:tc>
        <w:tc>
          <w:tcPr>
            <w:tcW w:w="2041" w:type="dxa"/>
            <w:tcBorders>
              <w:top w:val="single" w:sz="4" w:space="0" w:color="000000"/>
              <w:left w:val="single" w:sz="4" w:space="0" w:color="000000"/>
              <w:bottom w:val="single" w:sz="4" w:space="0" w:color="000000"/>
              <w:right w:val="single" w:sz="4" w:space="0" w:color="000000"/>
            </w:tcBorders>
          </w:tcPr>
          <w:p w14:paraId="778C153F" w14:textId="77777777" w:rsidR="006F12F5" w:rsidRDefault="00000000">
            <w:pPr>
              <w:spacing w:after="0" w:line="259" w:lineRule="auto"/>
              <w:ind w:left="0" w:firstLine="0"/>
            </w:pPr>
            <w:r>
              <w:t>F = 8.03, p &lt; 0.001</w:t>
            </w:r>
          </w:p>
        </w:tc>
      </w:tr>
      <w:tr w:rsidR="006F12F5" w14:paraId="13E53295" w14:textId="77777777" w:rsidTr="009C7E90">
        <w:trPr>
          <w:trHeight w:val="360"/>
        </w:trPr>
        <w:tc>
          <w:tcPr>
            <w:tcW w:w="1230" w:type="dxa"/>
            <w:tcBorders>
              <w:top w:val="single" w:sz="4" w:space="0" w:color="000000"/>
              <w:left w:val="single" w:sz="4" w:space="0" w:color="000000"/>
              <w:bottom w:val="single" w:sz="4" w:space="0" w:color="000000"/>
              <w:right w:val="single" w:sz="4" w:space="0" w:color="000000"/>
            </w:tcBorders>
          </w:tcPr>
          <w:p w14:paraId="36D77801" w14:textId="77777777" w:rsidR="006F12F5" w:rsidRDefault="00000000">
            <w:pPr>
              <w:spacing w:after="0" w:line="259" w:lineRule="auto"/>
              <w:ind w:left="0" w:firstLine="0"/>
            </w:pPr>
            <w:r>
              <w:t>Soybeans</w:t>
            </w:r>
          </w:p>
        </w:tc>
        <w:tc>
          <w:tcPr>
            <w:tcW w:w="2374" w:type="dxa"/>
            <w:tcBorders>
              <w:top w:val="single" w:sz="4" w:space="0" w:color="000000"/>
              <w:left w:val="single" w:sz="4" w:space="0" w:color="000000"/>
              <w:bottom w:val="single" w:sz="4" w:space="0" w:color="000000"/>
              <w:right w:val="single" w:sz="4" w:space="0" w:color="000000"/>
            </w:tcBorders>
          </w:tcPr>
          <w:p w14:paraId="0323973B" w14:textId="77777777" w:rsidR="006F12F5" w:rsidRDefault="00000000">
            <w:pPr>
              <w:spacing w:after="0" w:line="259" w:lineRule="auto"/>
              <w:ind w:left="0" w:firstLine="0"/>
            </w:pPr>
            <w:r>
              <w:t>Q2 seasonality</w:t>
            </w:r>
          </w:p>
        </w:tc>
        <w:tc>
          <w:tcPr>
            <w:tcW w:w="2040" w:type="dxa"/>
            <w:tcBorders>
              <w:top w:val="single" w:sz="4" w:space="0" w:color="000000"/>
              <w:left w:val="single" w:sz="4" w:space="0" w:color="000000"/>
              <w:bottom w:val="single" w:sz="4" w:space="0" w:color="000000"/>
              <w:right w:val="single" w:sz="4" w:space="0" w:color="000000"/>
            </w:tcBorders>
          </w:tcPr>
          <w:p w14:paraId="076D763F" w14:textId="77777777" w:rsidR="006F12F5" w:rsidRDefault="00000000">
            <w:pPr>
              <w:spacing w:after="0" w:line="259" w:lineRule="auto"/>
              <w:ind w:left="0" w:firstLine="0"/>
            </w:pPr>
            <w:r>
              <w:t>+1.61%</w:t>
            </w:r>
          </w:p>
        </w:tc>
        <w:tc>
          <w:tcPr>
            <w:tcW w:w="2273" w:type="dxa"/>
            <w:tcBorders>
              <w:top w:val="single" w:sz="4" w:space="0" w:color="000000"/>
              <w:left w:val="single" w:sz="4" w:space="0" w:color="000000"/>
              <w:bottom w:val="single" w:sz="4" w:space="0" w:color="000000"/>
              <w:right w:val="single" w:sz="4" w:space="0" w:color="000000"/>
            </w:tcBorders>
          </w:tcPr>
          <w:p w14:paraId="0D5E1121" w14:textId="77777777" w:rsidR="006F12F5" w:rsidRDefault="00000000">
            <w:pPr>
              <w:spacing w:after="0" w:line="259" w:lineRule="auto"/>
              <w:ind w:left="0" w:firstLine="0"/>
            </w:pPr>
            <w:r>
              <w:t>+0.53%</w:t>
            </w:r>
          </w:p>
        </w:tc>
        <w:tc>
          <w:tcPr>
            <w:tcW w:w="1241" w:type="dxa"/>
            <w:tcBorders>
              <w:top w:val="single" w:sz="4" w:space="0" w:color="000000"/>
              <w:left w:val="single" w:sz="4" w:space="0" w:color="000000"/>
              <w:bottom w:val="single" w:sz="4" w:space="0" w:color="000000"/>
              <w:right w:val="single" w:sz="4" w:space="0" w:color="000000"/>
            </w:tcBorders>
          </w:tcPr>
          <w:p w14:paraId="6CC3D8F9" w14:textId="77777777" w:rsidR="006F12F5" w:rsidRDefault="00000000">
            <w:pPr>
              <w:spacing w:after="0" w:line="259" w:lineRule="auto"/>
              <w:ind w:left="0" w:firstLine="0"/>
            </w:pPr>
            <w:r>
              <w:t>+1.08 pp</w:t>
            </w:r>
          </w:p>
        </w:tc>
        <w:tc>
          <w:tcPr>
            <w:tcW w:w="2041" w:type="dxa"/>
            <w:tcBorders>
              <w:top w:val="single" w:sz="4" w:space="0" w:color="000000"/>
              <w:left w:val="single" w:sz="4" w:space="0" w:color="000000"/>
              <w:bottom w:val="single" w:sz="4" w:space="0" w:color="000000"/>
              <w:right w:val="single" w:sz="4" w:space="0" w:color="000000"/>
            </w:tcBorders>
          </w:tcPr>
          <w:p w14:paraId="3067A9AE" w14:textId="77777777" w:rsidR="006F12F5" w:rsidRDefault="00000000">
            <w:pPr>
              <w:spacing w:after="0" w:line="259" w:lineRule="auto"/>
              <w:ind w:left="0" w:firstLine="0"/>
            </w:pPr>
            <w:r>
              <w:t>F = 9.37, p &lt; 0.001</w:t>
            </w:r>
          </w:p>
        </w:tc>
      </w:tr>
      <w:tr w:rsidR="006F12F5" w14:paraId="35DA37D8" w14:textId="77777777" w:rsidTr="009C7E90">
        <w:trPr>
          <w:trHeight w:val="360"/>
        </w:trPr>
        <w:tc>
          <w:tcPr>
            <w:tcW w:w="1230" w:type="dxa"/>
            <w:tcBorders>
              <w:top w:val="single" w:sz="4" w:space="0" w:color="000000"/>
              <w:left w:val="single" w:sz="4" w:space="0" w:color="000000"/>
              <w:bottom w:val="single" w:sz="4" w:space="0" w:color="000000"/>
              <w:right w:val="single" w:sz="4" w:space="0" w:color="000000"/>
            </w:tcBorders>
          </w:tcPr>
          <w:p w14:paraId="5AD244B6" w14:textId="77777777" w:rsidR="006F12F5" w:rsidRDefault="00000000">
            <w:pPr>
              <w:spacing w:after="0" w:line="259" w:lineRule="auto"/>
              <w:ind w:left="0" w:firstLine="0"/>
            </w:pPr>
            <w:r>
              <w:t>Coffee</w:t>
            </w:r>
          </w:p>
        </w:tc>
        <w:tc>
          <w:tcPr>
            <w:tcW w:w="2374" w:type="dxa"/>
            <w:tcBorders>
              <w:top w:val="single" w:sz="4" w:space="0" w:color="000000"/>
              <w:left w:val="single" w:sz="4" w:space="0" w:color="000000"/>
              <w:bottom w:val="single" w:sz="4" w:space="0" w:color="000000"/>
              <w:right w:val="single" w:sz="4" w:space="0" w:color="000000"/>
            </w:tcBorders>
          </w:tcPr>
          <w:p w14:paraId="4FA2D800" w14:textId="77777777" w:rsidR="006F12F5" w:rsidRDefault="00000000">
            <w:pPr>
              <w:spacing w:after="0" w:line="259" w:lineRule="auto"/>
              <w:ind w:left="0" w:firstLine="0"/>
            </w:pPr>
            <w:r>
              <w:t>Momentum continuation</w:t>
            </w:r>
          </w:p>
        </w:tc>
        <w:tc>
          <w:tcPr>
            <w:tcW w:w="2040" w:type="dxa"/>
            <w:tcBorders>
              <w:top w:val="single" w:sz="4" w:space="0" w:color="000000"/>
              <w:left w:val="single" w:sz="4" w:space="0" w:color="000000"/>
              <w:bottom w:val="single" w:sz="4" w:space="0" w:color="000000"/>
              <w:right w:val="single" w:sz="4" w:space="0" w:color="000000"/>
            </w:tcBorders>
          </w:tcPr>
          <w:p w14:paraId="354568B1" w14:textId="77777777" w:rsidR="006F12F5" w:rsidRDefault="00000000">
            <w:pPr>
              <w:spacing w:after="0" w:line="259" w:lineRule="auto"/>
              <w:ind w:left="0" w:firstLine="0"/>
            </w:pPr>
            <w:r>
              <w:t>+1.26%</w:t>
            </w:r>
          </w:p>
        </w:tc>
        <w:tc>
          <w:tcPr>
            <w:tcW w:w="2273" w:type="dxa"/>
            <w:tcBorders>
              <w:top w:val="single" w:sz="4" w:space="0" w:color="000000"/>
              <w:left w:val="single" w:sz="4" w:space="0" w:color="000000"/>
              <w:bottom w:val="single" w:sz="4" w:space="0" w:color="000000"/>
              <w:right w:val="single" w:sz="4" w:space="0" w:color="000000"/>
            </w:tcBorders>
          </w:tcPr>
          <w:p w14:paraId="42CE2F55" w14:textId="77777777" w:rsidR="006F12F5" w:rsidRDefault="00000000">
            <w:pPr>
              <w:spacing w:after="0" w:line="259" w:lineRule="auto"/>
              <w:ind w:left="0" w:firstLine="0"/>
            </w:pPr>
            <w:r>
              <w:t>+0.49%</w:t>
            </w:r>
          </w:p>
        </w:tc>
        <w:tc>
          <w:tcPr>
            <w:tcW w:w="1241" w:type="dxa"/>
            <w:tcBorders>
              <w:top w:val="single" w:sz="4" w:space="0" w:color="000000"/>
              <w:left w:val="single" w:sz="4" w:space="0" w:color="000000"/>
              <w:bottom w:val="single" w:sz="4" w:space="0" w:color="000000"/>
              <w:right w:val="single" w:sz="4" w:space="0" w:color="000000"/>
            </w:tcBorders>
          </w:tcPr>
          <w:p w14:paraId="7AFAB255" w14:textId="77777777" w:rsidR="006F12F5" w:rsidRDefault="00000000">
            <w:pPr>
              <w:spacing w:after="0" w:line="259" w:lineRule="auto"/>
              <w:ind w:left="0" w:firstLine="0"/>
            </w:pPr>
            <w:r>
              <w:t>+0.77 pp</w:t>
            </w:r>
          </w:p>
        </w:tc>
        <w:tc>
          <w:tcPr>
            <w:tcW w:w="2041" w:type="dxa"/>
            <w:tcBorders>
              <w:top w:val="single" w:sz="4" w:space="0" w:color="000000"/>
              <w:left w:val="single" w:sz="4" w:space="0" w:color="000000"/>
              <w:bottom w:val="single" w:sz="4" w:space="0" w:color="000000"/>
              <w:right w:val="single" w:sz="4" w:space="0" w:color="000000"/>
            </w:tcBorders>
          </w:tcPr>
          <w:p w14:paraId="7E985AA4" w14:textId="77777777" w:rsidR="006F12F5" w:rsidRDefault="00000000">
            <w:pPr>
              <w:spacing w:after="0" w:line="259" w:lineRule="auto"/>
              <w:ind w:left="0" w:firstLine="0"/>
            </w:pPr>
            <w:r>
              <w:t>t = 2.27, p = 0.024</w:t>
            </w:r>
          </w:p>
        </w:tc>
      </w:tr>
      <w:tr w:rsidR="006F12F5" w14:paraId="7E149B23" w14:textId="77777777" w:rsidTr="009C7E90">
        <w:trPr>
          <w:trHeight w:val="360"/>
        </w:trPr>
        <w:tc>
          <w:tcPr>
            <w:tcW w:w="1230" w:type="dxa"/>
            <w:tcBorders>
              <w:top w:val="single" w:sz="4" w:space="0" w:color="000000"/>
              <w:left w:val="single" w:sz="4" w:space="0" w:color="000000"/>
              <w:bottom w:val="single" w:sz="4" w:space="0" w:color="000000"/>
              <w:right w:val="single" w:sz="4" w:space="0" w:color="000000"/>
            </w:tcBorders>
          </w:tcPr>
          <w:p w14:paraId="0F9D3376" w14:textId="77777777" w:rsidR="006F12F5" w:rsidRDefault="00000000">
            <w:pPr>
              <w:spacing w:after="0" w:line="259" w:lineRule="auto"/>
              <w:ind w:left="0" w:firstLine="0"/>
            </w:pPr>
            <w:r>
              <w:t>Gold</w:t>
            </w:r>
          </w:p>
        </w:tc>
        <w:tc>
          <w:tcPr>
            <w:tcW w:w="2374" w:type="dxa"/>
            <w:tcBorders>
              <w:top w:val="single" w:sz="4" w:space="0" w:color="000000"/>
              <w:left w:val="single" w:sz="4" w:space="0" w:color="000000"/>
              <w:bottom w:val="single" w:sz="4" w:space="0" w:color="000000"/>
              <w:right w:val="single" w:sz="4" w:space="0" w:color="000000"/>
            </w:tcBorders>
          </w:tcPr>
          <w:p w14:paraId="1CCBEF1D" w14:textId="77777777" w:rsidR="006F12F5" w:rsidRDefault="00000000">
            <w:pPr>
              <w:spacing w:after="0" w:line="259" w:lineRule="auto"/>
              <w:ind w:left="0" w:firstLine="0"/>
            </w:pPr>
            <w:r>
              <w:t>Momentum continuation</w:t>
            </w:r>
          </w:p>
        </w:tc>
        <w:tc>
          <w:tcPr>
            <w:tcW w:w="2040" w:type="dxa"/>
            <w:tcBorders>
              <w:top w:val="single" w:sz="4" w:space="0" w:color="000000"/>
              <w:left w:val="single" w:sz="4" w:space="0" w:color="000000"/>
              <w:bottom w:val="single" w:sz="4" w:space="0" w:color="000000"/>
              <w:right w:val="single" w:sz="4" w:space="0" w:color="000000"/>
            </w:tcBorders>
          </w:tcPr>
          <w:p w14:paraId="56A0FCAE" w14:textId="77777777" w:rsidR="006F12F5" w:rsidRDefault="00000000">
            <w:pPr>
              <w:spacing w:after="0" w:line="259" w:lineRule="auto"/>
              <w:ind w:left="0" w:firstLine="0"/>
            </w:pPr>
            <w:r>
              <w:t>+1.27%</w:t>
            </w:r>
          </w:p>
        </w:tc>
        <w:tc>
          <w:tcPr>
            <w:tcW w:w="2273" w:type="dxa"/>
            <w:tcBorders>
              <w:top w:val="single" w:sz="4" w:space="0" w:color="000000"/>
              <w:left w:val="single" w:sz="4" w:space="0" w:color="000000"/>
              <w:bottom w:val="single" w:sz="4" w:space="0" w:color="000000"/>
              <w:right w:val="single" w:sz="4" w:space="0" w:color="000000"/>
            </w:tcBorders>
          </w:tcPr>
          <w:p w14:paraId="790A948C" w14:textId="77777777" w:rsidR="006F12F5" w:rsidRDefault="00000000">
            <w:pPr>
              <w:spacing w:after="0" w:line="259" w:lineRule="auto"/>
              <w:ind w:left="0" w:firstLine="0"/>
            </w:pPr>
            <w:r>
              <w:t>+0.50%</w:t>
            </w:r>
          </w:p>
        </w:tc>
        <w:tc>
          <w:tcPr>
            <w:tcW w:w="1241" w:type="dxa"/>
            <w:tcBorders>
              <w:top w:val="single" w:sz="4" w:space="0" w:color="000000"/>
              <w:left w:val="single" w:sz="4" w:space="0" w:color="000000"/>
              <w:bottom w:val="single" w:sz="4" w:space="0" w:color="000000"/>
              <w:right w:val="single" w:sz="4" w:space="0" w:color="000000"/>
            </w:tcBorders>
          </w:tcPr>
          <w:p w14:paraId="25F1A9EF" w14:textId="77777777" w:rsidR="006F12F5" w:rsidRDefault="00000000">
            <w:pPr>
              <w:spacing w:after="0" w:line="259" w:lineRule="auto"/>
              <w:ind w:left="0" w:firstLine="0"/>
            </w:pPr>
            <w:r>
              <w:t>+0.77 pp</w:t>
            </w:r>
          </w:p>
        </w:tc>
        <w:tc>
          <w:tcPr>
            <w:tcW w:w="2041" w:type="dxa"/>
            <w:tcBorders>
              <w:top w:val="single" w:sz="4" w:space="0" w:color="000000"/>
              <w:left w:val="single" w:sz="4" w:space="0" w:color="000000"/>
              <w:bottom w:val="single" w:sz="4" w:space="0" w:color="000000"/>
              <w:right w:val="single" w:sz="4" w:space="0" w:color="000000"/>
            </w:tcBorders>
          </w:tcPr>
          <w:p w14:paraId="4310FF08" w14:textId="77777777" w:rsidR="006F12F5" w:rsidRDefault="00000000">
            <w:pPr>
              <w:spacing w:after="0" w:line="259" w:lineRule="auto"/>
              <w:ind w:left="0" w:firstLine="0"/>
            </w:pPr>
            <w:r>
              <w:t>t = 2.27, p = 0.024</w:t>
            </w:r>
          </w:p>
        </w:tc>
      </w:tr>
      <w:tr w:rsidR="006F12F5" w14:paraId="3ADB31B3" w14:textId="77777777" w:rsidTr="009C7E90">
        <w:trPr>
          <w:trHeight w:val="360"/>
        </w:trPr>
        <w:tc>
          <w:tcPr>
            <w:tcW w:w="1230" w:type="dxa"/>
            <w:tcBorders>
              <w:top w:val="single" w:sz="4" w:space="0" w:color="000000"/>
              <w:left w:val="single" w:sz="4" w:space="0" w:color="000000"/>
              <w:bottom w:val="single" w:sz="4" w:space="0" w:color="000000"/>
              <w:right w:val="single" w:sz="4" w:space="0" w:color="000000"/>
            </w:tcBorders>
          </w:tcPr>
          <w:p w14:paraId="7790879F" w14:textId="77777777" w:rsidR="006F12F5" w:rsidRDefault="00000000">
            <w:pPr>
              <w:spacing w:after="0" w:line="259" w:lineRule="auto"/>
              <w:ind w:left="0" w:firstLine="0"/>
            </w:pPr>
            <w:r>
              <w:t>Bitcoin</w:t>
            </w:r>
          </w:p>
        </w:tc>
        <w:tc>
          <w:tcPr>
            <w:tcW w:w="2374" w:type="dxa"/>
            <w:tcBorders>
              <w:top w:val="single" w:sz="4" w:space="0" w:color="000000"/>
              <w:left w:val="single" w:sz="4" w:space="0" w:color="000000"/>
              <w:bottom w:val="single" w:sz="4" w:space="0" w:color="000000"/>
              <w:right w:val="single" w:sz="4" w:space="0" w:color="000000"/>
            </w:tcBorders>
          </w:tcPr>
          <w:p w14:paraId="7EAFCCFA" w14:textId="77777777" w:rsidR="006F12F5" w:rsidRDefault="00000000">
            <w:pPr>
              <w:spacing w:after="0" w:line="259" w:lineRule="auto"/>
              <w:ind w:left="0" w:firstLine="0"/>
            </w:pPr>
            <w:r>
              <w:t>Weekly momentum</w:t>
            </w:r>
          </w:p>
        </w:tc>
        <w:tc>
          <w:tcPr>
            <w:tcW w:w="2040" w:type="dxa"/>
            <w:tcBorders>
              <w:top w:val="single" w:sz="4" w:space="0" w:color="000000"/>
              <w:left w:val="single" w:sz="4" w:space="0" w:color="000000"/>
              <w:bottom w:val="single" w:sz="4" w:space="0" w:color="000000"/>
              <w:right w:val="single" w:sz="4" w:space="0" w:color="000000"/>
            </w:tcBorders>
          </w:tcPr>
          <w:p w14:paraId="39579A84" w14:textId="77777777" w:rsidR="006F12F5" w:rsidRDefault="00000000">
            <w:pPr>
              <w:spacing w:after="0" w:line="259" w:lineRule="auto"/>
              <w:ind w:left="0" w:firstLine="0"/>
            </w:pPr>
            <w:r>
              <w:t>+2.06%</w:t>
            </w:r>
          </w:p>
        </w:tc>
        <w:tc>
          <w:tcPr>
            <w:tcW w:w="2273" w:type="dxa"/>
            <w:tcBorders>
              <w:top w:val="single" w:sz="4" w:space="0" w:color="000000"/>
              <w:left w:val="single" w:sz="4" w:space="0" w:color="000000"/>
              <w:bottom w:val="single" w:sz="4" w:space="0" w:color="000000"/>
              <w:right w:val="single" w:sz="4" w:space="0" w:color="000000"/>
            </w:tcBorders>
          </w:tcPr>
          <w:p w14:paraId="70CF91FE" w14:textId="77777777" w:rsidR="006F12F5" w:rsidRDefault="00000000">
            <w:pPr>
              <w:spacing w:after="0" w:line="259" w:lineRule="auto"/>
              <w:ind w:left="0" w:firstLine="0"/>
            </w:pPr>
            <w:r>
              <w:t>+0.88%</w:t>
            </w:r>
          </w:p>
        </w:tc>
        <w:tc>
          <w:tcPr>
            <w:tcW w:w="1241" w:type="dxa"/>
            <w:tcBorders>
              <w:top w:val="single" w:sz="4" w:space="0" w:color="000000"/>
              <w:left w:val="single" w:sz="4" w:space="0" w:color="000000"/>
              <w:bottom w:val="single" w:sz="4" w:space="0" w:color="000000"/>
              <w:right w:val="single" w:sz="4" w:space="0" w:color="000000"/>
            </w:tcBorders>
          </w:tcPr>
          <w:p w14:paraId="6620A785" w14:textId="77777777" w:rsidR="006F12F5" w:rsidRDefault="00000000">
            <w:pPr>
              <w:spacing w:after="0" w:line="259" w:lineRule="auto"/>
              <w:ind w:left="0" w:firstLine="0"/>
            </w:pPr>
            <w:r>
              <w:t>+1.18 pp</w:t>
            </w:r>
          </w:p>
        </w:tc>
        <w:tc>
          <w:tcPr>
            <w:tcW w:w="2041" w:type="dxa"/>
            <w:tcBorders>
              <w:top w:val="single" w:sz="4" w:space="0" w:color="000000"/>
              <w:left w:val="single" w:sz="4" w:space="0" w:color="000000"/>
              <w:bottom w:val="single" w:sz="4" w:space="0" w:color="000000"/>
              <w:right w:val="single" w:sz="4" w:space="0" w:color="000000"/>
            </w:tcBorders>
          </w:tcPr>
          <w:p w14:paraId="0DC788E3" w14:textId="77777777" w:rsidR="006F12F5" w:rsidRDefault="00000000">
            <w:pPr>
              <w:spacing w:after="0" w:line="259" w:lineRule="auto"/>
              <w:ind w:left="0" w:firstLine="0"/>
            </w:pPr>
            <w:r>
              <w:t>p = 0.014</w:t>
            </w:r>
          </w:p>
        </w:tc>
      </w:tr>
      <w:tr w:rsidR="006F12F5" w14:paraId="5F149227" w14:textId="77777777" w:rsidTr="009C7E90">
        <w:trPr>
          <w:trHeight w:val="360"/>
        </w:trPr>
        <w:tc>
          <w:tcPr>
            <w:tcW w:w="1230" w:type="dxa"/>
            <w:tcBorders>
              <w:top w:val="single" w:sz="4" w:space="0" w:color="000000"/>
              <w:left w:val="single" w:sz="4" w:space="0" w:color="000000"/>
              <w:bottom w:val="single" w:sz="4" w:space="0" w:color="000000"/>
              <w:right w:val="single" w:sz="4" w:space="0" w:color="000000"/>
            </w:tcBorders>
          </w:tcPr>
          <w:p w14:paraId="060E7394" w14:textId="09CF6C65" w:rsidR="009C7E90" w:rsidRPr="009C7E90" w:rsidRDefault="00000000" w:rsidP="009C7E90">
            <w:pPr>
              <w:spacing w:after="0" w:line="259" w:lineRule="auto"/>
              <w:ind w:left="0" w:firstLine="0"/>
            </w:pPr>
            <w:r>
              <w:t>Dow Jones</w:t>
            </w:r>
          </w:p>
        </w:tc>
        <w:tc>
          <w:tcPr>
            <w:tcW w:w="2374" w:type="dxa"/>
            <w:tcBorders>
              <w:top w:val="single" w:sz="4" w:space="0" w:color="000000"/>
              <w:left w:val="single" w:sz="4" w:space="0" w:color="000000"/>
              <w:bottom w:val="single" w:sz="4" w:space="0" w:color="000000"/>
              <w:right w:val="single" w:sz="4" w:space="0" w:color="000000"/>
            </w:tcBorders>
          </w:tcPr>
          <w:p w14:paraId="7374962E" w14:textId="77777777" w:rsidR="006F12F5" w:rsidRDefault="00000000">
            <w:pPr>
              <w:spacing w:after="0" w:line="259" w:lineRule="auto"/>
              <w:ind w:left="0" w:firstLine="0"/>
            </w:pPr>
            <w:r>
              <w:t>(Control)</w:t>
            </w:r>
          </w:p>
        </w:tc>
        <w:tc>
          <w:tcPr>
            <w:tcW w:w="2040" w:type="dxa"/>
            <w:tcBorders>
              <w:top w:val="single" w:sz="4" w:space="0" w:color="000000"/>
              <w:left w:val="single" w:sz="4" w:space="0" w:color="000000"/>
              <w:bottom w:val="single" w:sz="4" w:space="0" w:color="000000"/>
              <w:right w:val="single" w:sz="4" w:space="0" w:color="000000"/>
            </w:tcBorders>
          </w:tcPr>
          <w:p w14:paraId="5AB2635D" w14:textId="77777777" w:rsidR="006F12F5" w:rsidRDefault="00000000">
            <w:pPr>
              <w:spacing w:after="0" w:line="259" w:lineRule="auto"/>
              <w:ind w:left="0" w:firstLine="0"/>
            </w:pPr>
            <w:r>
              <w:t>—</w:t>
            </w:r>
          </w:p>
        </w:tc>
        <w:tc>
          <w:tcPr>
            <w:tcW w:w="2273" w:type="dxa"/>
            <w:tcBorders>
              <w:top w:val="single" w:sz="4" w:space="0" w:color="000000"/>
              <w:left w:val="single" w:sz="4" w:space="0" w:color="000000"/>
              <w:bottom w:val="single" w:sz="4" w:space="0" w:color="000000"/>
              <w:right w:val="single" w:sz="4" w:space="0" w:color="000000"/>
            </w:tcBorders>
          </w:tcPr>
          <w:p w14:paraId="089ABBFB" w14:textId="77777777" w:rsidR="006F12F5" w:rsidRDefault="00000000">
            <w:pPr>
              <w:spacing w:after="0" w:line="259" w:lineRule="auto"/>
              <w:ind w:left="0" w:firstLine="0"/>
            </w:pPr>
            <w:r>
              <w:t>—</w:t>
            </w:r>
          </w:p>
        </w:tc>
        <w:tc>
          <w:tcPr>
            <w:tcW w:w="1241" w:type="dxa"/>
            <w:tcBorders>
              <w:top w:val="single" w:sz="4" w:space="0" w:color="000000"/>
              <w:left w:val="single" w:sz="4" w:space="0" w:color="000000"/>
              <w:bottom w:val="single" w:sz="4" w:space="0" w:color="000000"/>
              <w:right w:val="single" w:sz="4" w:space="0" w:color="000000"/>
            </w:tcBorders>
          </w:tcPr>
          <w:p w14:paraId="332A53D1" w14:textId="77777777" w:rsidR="006F12F5" w:rsidRDefault="00000000">
            <w:pPr>
              <w:spacing w:after="0" w:line="259" w:lineRule="auto"/>
              <w:ind w:left="0" w:firstLine="0"/>
            </w:pPr>
            <w:r>
              <w:t>~0.00 pp</w:t>
            </w:r>
          </w:p>
        </w:tc>
        <w:tc>
          <w:tcPr>
            <w:tcW w:w="2041" w:type="dxa"/>
            <w:tcBorders>
              <w:top w:val="single" w:sz="4" w:space="0" w:color="000000"/>
              <w:left w:val="single" w:sz="4" w:space="0" w:color="000000"/>
              <w:bottom w:val="single" w:sz="4" w:space="0" w:color="000000"/>
              <w:right w:val="single" w:sz="4" w:space="0" w:color="000000"/>
            </w:tcBorders>
          </w:tcPr>
          <w:p w14:paraId="79DE4546" w14:textId="77777777" w:rsidR="006F12F5" w:rsidRDefault="00000000">
            <w:pPr>
              <w:spacing w:after="0" w:line="259" w:lineRule="auto"/>
              <w:ind w:left="0" w:firstLine="0"/>
            </w:pPr>
            <w:r>
              <w:t>p = 0.756</w:t>
            </w:r>
          </w:p>
        </w:tc>
      </w:tr>
    </w:tbl>
    <w:p w14:paraId="191DB8C8" w14:textId="79907515" w:rsidR="009C7E90" w:rsidRDefault="009C7E90" w:rsidP="009C7E90">
      <w:pPr>
        <w:tabs>
          <w:tab w:val="left" w:pos="2067"/>
        </w:tabs>
        <w:ind w:left="0" w:firstLine="0"/>
        <w:rPr>
          <w:b/>
          <w:bCs/>
        </w:rPr>
      </w:pPr>
      <w:r>
        <w:rPr>
          <w:b/>
          <w:bCs/>
        </w:rPr>
        <w:t>Figure 1. Conditional vs. Unconditional Mean Returns</w:t>
      </w:r>
    </w:p>
    <w:p w14:paraId="2446851C" w14:textId="77777777" w:rsidR="009C7E90" w:rsidRPr="009C7E90" w:rsidRDefault="009C7E90" w:rsidP="009C7E90">
      <w:pPr>
        <w:tabs>
          <w:tab w:val="left" w:pos="2067"/>
        </w:tabs>
        <w:rPr>
          <w:b/>
          <w:bCs/>
          <w:i/>
          <w:iCs/>
        </w:rPr>
      </w:pPr>
      <w:r w:rsidRPr="009C7E90">
        <w:rPr>
          <w:i/>
          <w:iCs/>
        </w:rPr>
        <w:t xml:space="preserve">This table shows the difference in the conditional and unconditional mean returns for the conditions tested across the different assets; if the weak-form EMH was true, there should be no statistically significant excess return </w:t>
      </w:r>
      <w:r w:rsidRPr="009C7E90">
        <w:rPr>
          <w:b/>
          <w:bCs/>
          <w:i/>
          <w:iCs/>
        </w:rPr>
        <w:t>(</w:t>
      </w:r>
      <w:r w:rsidRPr="009C7E90">
        <w:rPr>
          <w:rStyle w:val="Strong"/>
          <w:rFonts w:eastAsiaTheme="majorEastAsia"/>
          <w:b w:val="0"/>
          <w:bCs w:val="0"/>
          <w:i/>
          <w:iCs/>
        </w:rPr>
        <w:t xml:space="preserve">Δ = 0). These findings indicate there is statistically significant evidence that the weak-form EMH does not hold across all types of assets. </w:t>
      </w:r>
    </w:p>
    <w:p w14:paraId="6BB17FE9" w14:textId="10151CB6" w:rsidR="009C7E90" w:rsidRDefault="009C7E90" w:rsidP="009C7E90">
      <w:pPr>
        <w:pStyle w:val="Heading1"/>
        <w:ind w:left="-5"/>
        <w:jc w:val="center"/>
      </w:pPr>
      <w:r>
        <w:rPr>
          <w:noProof/>
        </w:rPr>
        <w:lastRenderedPageBreak/>
        <w:drawing>
          <wp:inline distT="0" distB="0" distL="0" distR="0" wp14:anchorId="14FB2C57" wp14:editId="2A13EFA9">
            <wp:extent cx="5454244" cy="3984828"/>
            <wp:effectExtent l="12700" t="12700" r="6985" b="15875"/>
            <wp:docPr id="821732204" name="Picture 1" descr="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32204" name="Picture 1" descr="A graph of a number of different colored bar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465388" cy="3992969"/>
                    </a:xfrm>
                    <a:prstGeom prst="rect">
                      <a:avLst/>
                    </a:prstGeom>
                    <a:ln w="12700">
                      <a:solidFill>
                        <a:schemeClr val="tx1"/>
                      </a:solidFill>
                    </a:ln>
                  </pic:spPr>
                </pic:pic>
              </a:graphicData>
            </a:graphic>
          </wp:inline>
        </w:drawing>
      </w:r>
    </w:p>
    <w:p w14:paraId="5B960CF3" w14:textId="73C0AC56" w:rsidR="009C7E90" w:rsidRPr="009C7E90" w:rsidRDefault="009C7E90" w:rsidP="009C7E90">
      <w:r w:rsidRPr="00931C8D">
        <w:rPr>
          <w:rStyle w:val="Strong"/>
        </w:rPr>
        <w:t xml:space="preserve">Figure </w:t>
      </w:r>
      <w:r>
        <w:rPr>
          <w:rStyle w:val="Strong"/>
        </w:rPr>
        <w:t>2</w:t>
      </w:r>
      <w:r w:rsidRPr="00931C8D">
        <w:rPr>
          <w:rStyle w:val="Strong"/>
        </w:rPr>
        <w:t>. The Ladder of Inefficiency</w:t>
      </w:r>
      <w:r w:rsidRPr="00931C8D">
        <w:br/>
      </w:r>
      <w:r w:rsidRPr="00615963">
        <w:rPr>
          <w:rStyle w:val="Emphasis"/>
        </w:rPr>
        <w:t>Bars represent conditional mean return deviations—how far each asset’s returns drift from their unconditional mean under the specific tested condition.</w:t>
      </w:r>
    </w:p>
    <w:p w14:paraId="6E15C1C1" w14:textId="77777777" w:rsidR="009C7E90" w:rsidRDefault="009C7E90">
      <w:pPr>
        <w:pStyle w:val="Heading1"/>
        <w:ind w:left="-5"/>
      </w:pPr>
    </w:p>
    <w:p w14:paraId="2F0FE40F" w14:textId="77777777" w:rsidR="009C7E90" w:rsidRDefault="009C7E90">
      <w:pPr>
        <w:pStyle w:val="Heading1"/>
        <w:ind w:left="-5"/>
      </w:pPr>
    </w:p>
    <w:p w14:paraId="3337C872" w14:textId="09C1B96B" w:rsidR="006F12F5" w:rsidRDefault="00000000" w:rsidP="009C7E90">
      <w:pPr>
        <w:pStyle w:val="Heading1"/>
        <w:ind w:left="0" w:firstLine="0"/>
      </w:pPr>
      <w:r>
        <w:t>Interpretation</w:t>
      </w:r>
    </w:p>
    <w:p w14:paraId="12E98BAB" w14:textId="77777777" w:rsidR="009C7E90" w:rsidRDefault="00000000">
      <w:pPr>
        <w:numPr>
          <w:ilvl w:val="0"/>
          <w:numId w:val="2"/>
        </w:numPr>
        <w:ind w:right="147" w:hanging="122"/>
      </w:pPr>
      <w:r>
        <w:t xml:space="preserve">Agricultural commodities show predictable seasonality tied to planting, harvest, and export </w:t>
      </w:r>
      <w:r w:rsidR="009C7E90">
        <w:t xml:space="preserve">cycles. </w:t>
      </w:r>
    </w:p>
    <w:p w14:paraId="7E1194ED" w14:textId="218553B8" w:rsidR="006F12F5" w:rsidRDefault="009C7E90" w:rsidP="009C7E90">
      <w:pPr>
        <w:ind w:left="0" w:right="147" w:firstLine="0"/>
      </w:pPr>
      <w:r>
        <w:t>- Gold and Coffee exhibit momentum persistence, where strong months predict subsequent positive returns.</w:t>
      </w:r>
    </w:p>
    <w:p w14:paraId="038B4E4C" w14:textId="77777777" w:rsidR="006F12F5" w:rsidRDefault="00000000">
      <w:pPr>
        <w:numPr>
          <w:ilvl w:val="0"/>
          <w:numId w:val="2"/>
        </w:numPr>
        <w:spacing w:after="230"/>
        <w:ind w:right="147" w:hanging="122"/>
      </w:pPr>
      <w:r>
        <w:t>Bitcoin maintains median momentum robust to outliers, detected through a non-parametric approach.</w:t>
      </w:r>
    </w:p>
    <w:p w14:paraId="12477960" w14:textId="77777777" w:rsidR="006F12F5" w:rsidRDefault="00000000">
      <w:pPr>
        <w:spacing w:after="351"/>
        <w:ind w:left="-5"/>
      </w:pPr>
      <w:r>
        <w:t>Across several markets, excess returns are statistically significant, economically meaningful, and theoretically grounded — contradicting weak-form EMH.</w:t>
      </w:r>
    </w:p>
    <w:p w14:paraId="5B082174" w14:textId="77777777" w:rsidR="006F12F5" w:rsidRDefault="00000000">
      <w:pPr>
        <w:pStyle w:val="Heading1"/>
        <w:ind w:left="-5"/>
      </w:pPr>
      <w:r>
        <w:t>Conclusion</w:t>
      </w:r>
    </w:p>
    <w:p w14:paraId="61F84737" w14:textId="6557B7CE" w:rsidR="006F12F5" w:rsidRDefault="00000000">
      <w:pPr>
        <w:spacing w:after="471"/>
        <w:ind w:left="-5"/>
      </w:pPr>
      <w:r>
        <w:t xml:space="preserve">The weak-form EMH does not hold universally. Commodities and digital assets show durable inefficiencies driven by real-world supply, seasonal structure, and investor psychology. </w:t>
      </w:r>
      <w:r w:rsidR="00E80CF2">
        <w:t>These results imply that systematic seasonal and momentum strategies may outperform passive index exposure in specific commodity and crypto markets.</w:t>
      </w:r>
    </w:p>
    <w:p w14:paraId="0CD0EE49" w14:textId="77777777" w:rsidR="006F12F5" w:rsidRDefault="00000000">
      <w:pPr>
        <w:ind w:left="-5"/>
      </w:pPr>
      <w:r>
        <w:t>© 2025 — Alexander K. Laudano — Skidmore College — Applied Market Inefficiency Research</w:t>
      </w:r>
    </w:p>
    <w:sectPr w:rsidR="006F12F5">
      <w:pgSz w:w="12240" w:h="15840"/>
      <w:pgMar w:top="1616" w:right="1560" w:bottom="1759"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9249D"/>
    <w:multiLevelType w:val="multilevel"/>
    <w:tmpl w:val="8940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353E3B"/>
    <w:multiLevelType w:val="hybridMultilevel"/>
    <w:tmpl w:val="38E28B78"/>
    <w:lvl w:ilvl="0" w:tplc="E074569E">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8848DE">
      <w:start w:val="1"/>
      <w:numFmt w:val="bullet"/>
      <w:lvlText w:val="o"/>
      <w:lvlJc w:val="left"/>
      <w:pPr>
        <w:ind w:left="1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329170">
      <w:start w:val="1"/>
      <w:numFmt w:val="bullet"/>
      <w:lvlText w:val="▪"/>
      <w:lvlJc w:val="left"/>
      <w:pPr>
        <w:ind w:left="1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2EC2120">
      <w:start w:val="1"/>
      <w:numFmt w:val="bullet"/>
      <w:lvlText w:val="•"/>
      <w:lvlJc w:val="left"/>
      <w:pPr>
        <w:ind w:left="2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68604E">
      <w:start w:val="1"/>
      <w:numFmt w:val="bullet"/>
      <w:lvlText w:val="o"/>
      <w:lvlJc w:val="left"/>
      <w:pPr>
        <w:ind w:left="3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5A67F8">
      <w:start w:val="1"/>
      <w:numFmt w:val="bullet"/>
      <w:lvlText w:val="▪"/>
      <w:lvlJc w:val="left"/>
      <w:pPr>
        <w:ind w:left="4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38C784">
      <w:start w:val="1"/>
      <w:numFmt w:val="bullet"/>
      <w:lvlText w:val="•"/>
      <w:lvlJc w:val="left"/>
      <w:pPr>
        <w:ind w:left="4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5AC5EE">
      <w:start w:val="1"/>
      <w:numFmt w:val="bullet"/>
      <w:lvlText w:val="o"/>
      <w:lvlJc w:val="left"/>
      <w:pPr>
        <w:ind w:left="5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0E6DD2">
      <w:start w:val="1"/>
      <w:numFmt w:val="bullet"/>
      <w:lvlText w:val="▪"/>
      <w:lvlJc w:val="left"/>
      <w:pPr>
        <w:ind w:left="6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5040D8C"/>
    <w:multiLevelType w:val="hybridMultilevel"/>
    <w:tmpl w:val="EFBE003A"/>
    <w:lvl w:ilvl="0" w:tplc="0CB4B9C2">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12A81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56E2F2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78C16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56D07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4CD55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70AF3C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9EEE3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B00E4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780491374">
    <w:abstractNumId w:val="1"/>
  </w:num>
  <w:num w:numId="2" w16cid:durableId="2002197617">
    <w:abstractNumId w:val="2"/>
  </w:num>
  <w:num w:numId="3" w16cid:durableId="636029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2F5"/>
    <w:rsid w:val="006F12F5"/>
    <w:rsid w:val="009C7E90"/>
    <w:rsid w:val="00B60A77"/>
    <w:rsid w:val="00E80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0B19A"/>
  <w15:docId w15:val="{1795B841-CA63-6647-B054-77B987CB3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9C7E90"/>
    <w:rPr>
      <w:b/>
      <w:bCs/>
    </w:rPr>
  </w:style>
  <w:style w:type="character" w:styleId="Emphasis">
    <w:name w:val="Emphasis"/>
    <w:basedOn w:val="DefaultParagraphFont"/>
    <w:uiPriority w:val="20"/>
    <w:qFormat/>
    <w:rsid w:val="009C7E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494</Words>
  <Characters>2821</Characters>
  <Application>Microsoft Office Word</Application>
  <DocSecurity>0</DocSecurity>
  <Lines>23</Lines>
  <Paragraphs>6</Paragraphs>
  <ScaleCrop>false</ScaleCrop>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Alex Laudano</cp:lastModifiedBy>
  <cp:revision>3</cp:revision>
  <dcterms:created xsi:type="dcterms:W3CDTF">2025-11-07T16:22:00Z</dcterms:created>
  <dcterms:modified xsi:type="dcterms:W3CDTF">2025-11-07T16:25:00Z</dcterms:modified>
</cp:coreProperties>
</file>