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GSTitle"/>
      </w:pPr>
      <w:r>
        <w:t>Ka Ulukoa</w:t>
      </w:r>
    </w:p>
    <w:p>
      <w:pPr>
        <w:pStyle w:val="TGSSubtitle"/>
      </w:pPr>
      <w:r>
        <w:t>Week 1 Grant Opportunities Report</w:t>
      </w:r>
    </w:p>
    <w:p>
      <w:pPr>
        <w:pStyle w:val="TGSMeta"/>
      </w:pPr>
      <w:r>
        <w:rPr>
          <w:rFonts w:ascii="Calibri" w:hAnsi="Calibri"/>
          <w:b/>
          <w:color w:val="2C3E50"/>
          <w:sz w:val="22"/>
        </w:rPr>
        <w:t xml:space="preserve">Report Date: </w:t>
      </w:r>
      <w:r>
        <w:rPr>
          <w:rFonts w:ascii="Calibri" w:hAnsi="Calibri"/>
          <w:color w:val="6C757D"/>
          <w:sz w:val="22"/>
        </w:rPr>
        <w:t>November 22, 2025</w:t>
      </w:r>
    </w:p>
    <w:p>
      <w:pPr>
        <w:pStyle w:val="TGSMeta"/>
      </w:pPr>
      <w:r>
        <w:rPr>
          <w:rFonts w:ascii="Calibri" w:hAnsi="Calibri"/>
          <w:b/>
          <w:color w:val="2C3E50"/>
          <w:sz w:val="22"/>
        </w:rPr>
        <w:t xml:space="preserve">Urgent Deadlines: </w:t>
      </w:r>
      <w:r>
        <w:rPr>
          <w:rFonts w:ascii="Calibri" w:hAnsi="Calibri"/>
          <w:color w:val="6C757D"/>
          <w:sz w:val="22"/>
        </w:rPr>
        <w:t>2 (Atherton Family Foundation - January 5, 2026; Bank of Hawaii - January 2026)</w:t>
      </w:r>
    </w:p>
    <w:p>
      <w:pPr>
        <w:pStyle w:val="TGSMeta"/>
      </w:pPr>
      <w:r>
        <w:rPr>
          <w:rFonts w:ascii="Calibri" w:hAnsi="Calibri"/>
          <w:b/>
          <w:color w:val="2C3E50"/>
          <w:sz w:val="22"/>
        </w:rPr>
        <w:t xml:space="preserve">Total Potential Funding: </w:t>
      </w:r>
      <w:r>
        <w:rPr>
          <w:rFonts w:ascii="Calibri" w:hAnsi="Calibri"/>
          <w:color w:val="6C757D"/>
          <w:sz w:val="22"/>
        </w:rPr>
        <w:t>$365,000 - $1,450,000</w:t>
      </w:r>
    </w:p>
    <w:p>
      <w:pPr>
        <w:spacing w:before="160" w:after="160"/>
        <w:pBdr>
          <w:bottom w:val="single" w:sz="8" w:color="d4a853"/>
        </w:pBdr>
      </w:pPr>
    </w:p>
    <w:p>
      <w:pPr>
        <w:pStyle w:val="TGSH1"/>
      </w:pPr>
      <w:r>
        <w:t>If You Only Do One Thing This Week</w:t>
      </w:r>
    </w:p>
    <w:tbl>
      <w:tblPr>
        <w:tblW w:type="auto" w:w="0"/>
        <w:jc w:val="left"/>
        <w:tblLook w:firstColumn="1" w:firstRow="1" w:lastColumn="0" w:lastRow="0" w:noHBand="0" w:noVBand="1" w:val="04A0"/>
      </w:tblPr>
      <w:tblGrid>
        <w:gridCol w:w="9360"/>
      </w:tblGrid>
      <w:tr>
        <w:tc>
          <w:tcPr>
            <w:tcW w:type="dxa" w:w="9360"/>
            <w:shd w:fill="fef9e7"/>
            <w:tcBorders>
              <w:left w:val="single" w:sz="32" w:color="d4a853"/>
              <w:top w:val="single" w:sz="4" w:color="e8ebed"/>
              <w:bottom w:val="single" w:sz="4" w:color="e8ebed"/>
              <w:right w:val="single" w:sz="4" w:color="e8ebed"/>
            </w:tcBorders>
          </w:tcPr>
          <w:p>
            <w:pPr>
              <w:spacing w:before="240" w:after="240"/>
              <w:ind w:left="144"/>
            </w:pPr>
            <w:r>
              <w:rPr>
                <w:rFonts w:ascii="Calibri" w:hAnsi="Calibri"/>
                <w:b/>
                <w:color w:val="1E3A5F"/>
                <w:sz w:val="24"/>
              </w:rPr>
              <w:t>Register on hawaiicf.smartsimple.com by November 29 to begin your Atherton Family Foundation application for the January 5 deadline.</w:t>
            </w:r>
          </w:p>
        </w:tc>
      </w:tr>
    </w:tbl>
    <w:p/>
    <w:p>
      <w:pPr>
        <w:spacing w:before="160" w:after="160"/>
        <w:pBdr>
          <w:bottom w:val="single" w:sz="8" w:color="d4a853"/>
        </w:pBdr>
      </w:pPr>
    </w:p>
    <w:p>
      <w:pPr>
        <w:pStyle w:val="TGSH1"/>
      </w:pPr>
      <w:r>
        <w:t>Executive Summary</w:t>
      </w:r>
    </w:p>
    <w:p>
      <w:pPr>
        <w:pStyle w:val="TGSH2"/>
      </w:pPr>
      <w:r>
        <w:t>Urgent Actions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spacing w:after="80" w:before="80"/>
              <w:jc w:val="left"/>
            </w:pPr>
            <w:r>
              <w:rPr>
                <w:rFonts w:ascii="Calibri" w:hAnsi="Calibri"/>
                <w:b/>
                <w:color w:val="FFFFFF"/>
                <w:sz w:val="20"/>
              </w:rPr>
              <w:t>Priority</w:t>
            </w:r>
          </w:p>
        </w:tc>
        <w:tc>
          <w:tcPr>
            <w:tcW w:type="dxa" w:w="2340"/>
            <w:shd w:fill="1e3a5f"/>
            <w:tcBorders>
              <w:bottom w:val="single" w:sz="12" w:color="d4a853"/>
            </w:tcBorders>
          </w:tcPr>
          <w:p>
            <w:pPr>
              <w:spacing w:after="80" w:before="80"/>
              <w:jc w:val="left"/>
            </w:pPr>
            <w:r>
              <w:rPr>
                <w:rFonts w:ascii="Calibri" w:hAnsi="Calibri"/>
                <w:b/>
                <w:color w:val="FFFFFF"/>
                <w:sz w:val="20"/>
              </w:rPr>
              <w:t>Action</w:t>
            </w:r>
          </w:p>
        </w:tc>
        <w:tc>
          <w:tcPr>
            <w:tcW w:type="dxa" w:w="2340"/>
            <w:shd w:fill="1e3a5f"/>
            <w:tcBorders>
              <w:bottom w:val="single" w:sz="12" w:color="d4a853"/>
            </w:tcBorders>
          </w:tcPr>
          <w:p>
            <w:pPr>
              <w:spacing w:after="80" w:before="80"/>
              <w:jc w:val="left"/>
            </w:pPr>
            <w:r>
              <w:rPr>
                <w:rFonts w:ascii="Calibri" w:hAnsi="Calibri"/>
                <w:b/>
                <w:color w:val="FFFFFF"/>
                <w:sz w:val="20"/>
              </w:rPr>
              <w:t>Deadline</w:t>
            </w:r>
          </w:p>
        </w:tc>
        <w:tc>
          <w:tcPr>
            <w:tcW w:type="dxa" w:w="2340"/>
            <w:shd w:fill="1e3a5f"/>
            <w:tcBorders>
              <w:bottom w:val="single" w:sz="12" w:color="d4a853"/>
            </w:tcBorders>
          </w:tcPr>
          <w:p>
            <w:pPr>
              <w:spacing w:after="80" w:before="80"/>
              <w:jc w:val="left"/>
            </w:pPr>
            <w:r>
              <w:rPr>
                <w:rFonts w:ascii="Calibri" w:hAnsi="Calibri"/>
                <w:b/>
                <w:color w:val="FFFFFF"/>
                <w:sz w:val="20"/>
              </w:rPr>
              <w:t>Contact</w:t>
            </w:r>
          </w:p>
        </w:tc>
      </w:tr>
      <w:tr>
        <w:tc>
          <w:tcPr>
            <w:tcW w:type="dxa" w:w="2340"/>
            <w:shd w:fill="ffffff"/>
          </w:tcPr>
          <w:p>
            <w:pPr>
              <w:spacing w:after="80" w:before="80"/>
              <w:jc w:val="left"/>
            </w:pPr>
            <w:r>
              <w:rPr>
                <w:rFonts w:ascii="Calibri" w:hAnsi="Calibri"/>
                <w:color w:val="2C3E50"/>
                <w:sz w:val="20"/>
              </w:rPr>
              <w:t>1</w:t>
            </w:r>
          </w:p>
        </w:tc>
        <w:tc>
          <w:tcPr>
            <w:tcW w:type="dxa" w:w="2340"/>
            <w:shd w:fill="ffffff"/>
          </w:tcPr>
          <w:p>
            <w:pPr>
              <w:spacing w:after="80" w:before="80"/>
              <w:jc w:val="left"/>
            </w:pPr>
            <w:r>
              <w:rPr>
                <w:rFonts w:ascii="Calibri" w:hAnsi="Calibri"/>
                <w:color w:val="2C3E50"/>
                <w:sz w:val="20"/>
              </w:rPr>
              <w:t>Register on Hawaii Community Foundation portal</w:t>
            </w:r>
          </w:p>
        </w:tc>
        <w:tc>
          <w:tcPr>
            <w:tcW w:type="dxa" w:w="2340"/>
            <w:shd w:fill="ffffff"/>
          </w:tcPr>
          <w:p>
            <w:pPr>
              <w:spacing w:after="80" w:before="80"/>
              <w:jc w:val="left"/>
            </w:pPr>
            <w:r>
              <w:rPr>
                <w:rFonts w:ascii="Calibri" w:hAnsi="Calibri"/>
                <w:color w:val="2C3E50"/>
                <w:sz w:val="20"/>
              </w:rPr>
              <w:t>Nov 29, 2025</w:t>
            </w:r>
          </w:p>
        </w:tc>
        <w:tc>
          <w:tcPr>
            <w:tcW w:type="dxa" w:w="2340"/>
            <w:shd w:fill="ffffff"/>
          </w:tcPr>
          <w:p>
            <w:pPr>
              <w:spacing w:after="80" w:before="80"/>
              <w:jc w:val="left"/>
            </w:pPr>
            <w:r>
              <w:rPr>
                <w:rFonts w:ascii="Calibri" w:hAnsi="Calibri"/>
                <w:color w:val="2C3E50"/>
                <w:sz w:val="20"/>
              </w:rPr>
              <w:t>hawaiicf.smartsimple.com</w:t>
            </w:r>
          </w:p>
        </w:tc>
      </w:tr>
      <w:tr>
        <w:tc>
          <w:tcPr>
            <w:tcW w:type="dxa" w:w="2340"/>
            <w:shd w:fill="f5f7fa"/>
          </w:tcPr>
          <w:p>
            <w:pPr>
              <w:spacing w:after="80" w:before="80"/>
              <w:jc w:val="left"/>
            </w:pPr>
            <w:r>
              <w:rPr>
                <w:rFonts w:ascii="Calibri" w:hAnsi="Calibri"/>
                <w:color w:val="2C3E50"/>
                <w:sz w:val="20"/>
              </w:rPr>
              <w:t>2</w:t>
            </w:r>
          </w:p>
        </w:tc>
        <w:tc>
          <w:tcPr>
            <w:tcW w:type="dxa" w:w="2340"/>
            <w:shd w:fill="f5f7fa"/>
          </w:tcPr>
          <w:p>
            <w:pPr>
              <w:spacing w:after="80" w:before="80"/>
              <w:jc w:val="left"/>
            </w:pPr>
            <w:r>
              <w:rPr>
                <w:rFonts w:ascii="Calibri" w:hAnsi="Calibri"/>
                <w:color w:val="2C3E50"/>
                <w:sz w:val="20"/>
              </w:rPr>
              <w:t>Submit Atherton Family Foundation application</w:t>
            </w:r>
          </w:p>
        </w:tc>
        <w:tc>
          <w:tcPr>
            <w:tcW w:type="dxa" w:w="2340"/>
            <w:shd w:fill="f5f7fa"/>
          </w:tcPr>
          <w:p>
            <w:pPr>
              <w:spacing w:after="80" w:before="80"/>
              <w:jc w:val="left"/>
            </w:pPr>
            <w:r>
              <w:rPr>
                <w:rFonts w:ascii="Calibri" w:hAnsi="Calibri"/>
                <w:color w:val="2C3E50"/>
                <w:sz w:val="20"/>
              </w:rPr>
              <w:t>Jan 5, 2026</w:t>
            </w:r>
          </w:p>
        </w:tc>
        <w:tc>
          <w:tcPr>
            <w:tcW w:type="dxa" w:w="2340"/>
            <w:shd w:fill="f5f7fa"/>
          </w:tcPr>
          <w:p>
            <w:pPr>
              <w:spacing w:after="80" w:before="80"/>
              <w:jc w:val="left"/>
            </w:pPr>
            <w:r>
              <w:rPr>
                <w:rFonts w:ascii="Calibri" w:hAnsi="Calibri"/>
                <w:color w:val="2C3E50"/>
                <w:sz w:val="20"/>
              </w:rPr>
              <w:t>Elizabeth Lentz-Hill</w:t>
            </w:r>
          </w:p>
        </w:tc>
      </w:tr>
      <w:tr>
        <w:tc>
          <w:tcPr>
            <w:tcW w:type="dxa" w:w="2340"/>
            <w:shd w:fill="ffffff"/>
          </w:tcPr>
          <w:p>
            <w:pPr>
              <w:spacing w:after="80" w:before="80"/>
              <w:jc w:val="left"/>
            </w:pPr>
            <w:r>
              <w:rPr>
                <w:rFonts w:ascii="Calibri" w:hAnsi="Calibri"/>
                <w:color w:val="2C3E50"/>
                <w:sz w:val="20"/>
              </w:rPr>
              <w:t>3</w:t>
            </w:r>
          </w:p>
        </w:tc>
        <w:tc>
          <w:tcPr>
            <w:tcW w:type="dxa" w:w="2340"/>
            <w:shd w:fill="ffffff"/>
          </w:tcPr>
          <w:p>
            <w:pPr>
              <w:spacing w:after="80" w:before="80"/>
              <w:jc w:val="left"/>
            </w:pPr>
            <w:r>
              <w:rPr>
                <w:rFonts w:ascii="Calibri" w:hAnsi="Calibri"/>
                <w:color w:val="2C3E50"/>
                <w:sz w:val="20"/>
              </w:rPr>
              <w:t>Contact Bank of Hawaii for 2026 deadline</w:t>
            </w:r>
          </w:p>
        </w:tc>
        <w:tc>
          <w:tcPr>
            <w:tcW w:type="dxa" w:w="2340"/>
            <w:shd w:fill="ffffff"/>
          </w:tcPr>
          <w:p>
            <w:pPr>
              <w:spacing w:after="80" w:before="80"/>
              <w:jc w:val="left"/>
            </w:pPr>
            <w:r>
              <w:rPr>
                <w:rFonts w:ascii="Calibri" w:hAnsi="Calibri"/>
                <w:color w:val="2C3E50"/>
                <w:sz w:val="20"/>
              </w:rPr>
              <w:t>Dec 15, 2025</w:t>
            </w:r>
          </w:p>
        </w:tc>
        <w:tc>
          <w:tcPr>
            <w:tcW w:type="dxa" w:w="2340"/>
            <w:shd w:fill="ffffff"/>
          </w:tcPr>
          <w:p>
            <w:pPr>
              <w:spacing w:after="80" w:before="80"/>
              <w:jc w:val="left"/>
            </w:pPr>
            <w:r>
              <w:rPr>
                <w:rFonts w:ascii="Calibri" w:hAnsi="Calibri"/>
                <w:color w:val="2C3E50"/>
                <w:sz w:val="20"/>
              </w:rPr>
              <w:t>(808) 694-4945</w:t>
            </w:r>
          </w:p>
        </w:tc>
      </w:tr>
    </w:tbl>
    <w:p/>
    <w:p>
      <w:pPr>
        <w:pStyle w:val="TGSH2"/>
      </w:pPr>
      <w:r>
        <w:t>Funding Scenarios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Scenario</w:t>
            </w:r>
          </w:p>
        </w:tc>
        <w:tc>
          <w:tcPr>
            <w:tcW w:type="dxa" w:w="3120"/>
            <w:shd w:fill="1e3a5f"/>
            <w:tcBorders>
              <w:bottom w:val="single" w:sz="12" w:color="d4a853"/>
            </w:tcBorders>
          </w:tcPr>
          <w:p>
            <w:pPr>
              <w:spacing w:after="80" w:before="80"/>
              <w:jc w:val="left"/>
            </w:pPr>
            <w:r>
              <w:rPr>
                <w:rFonts w:ascii="Calibri" w:hAnsi="Calibri"/>
                <w:b/>
                <w:color w:val="FFFFFF"/>
                <w:sz w:val="20"/>
              </w:rPr>
              <w:t>Opportunities</w:t>
            </w:r>
          </w:p>
        </w:tc>
        <w:tc>
          <w:tcPr>
            <w:tcW w:type="dxa" w:w="3120"/>
            <w:shd w:fill="1e3a5f"/>
            <w:tcBorders>
              <w:bottom w:val="single" w:sz="12" w:color="d4a853"/>
            </w:tcBorders>
          </w:tcPr>
          <w:p>
            <w:pPr>
              <w:spacing w:after="80" w:before="80"/>
              <w:jc w:val="left"/>
            </w:pPr>
            <w:r>
              <w:rPr>
                <w:rFonts w:ascii="Calibri" w:hAnsi="Calibri"/>
                <w:b/>
                <w:color w:val="FFFFFF"/>
                <w:sz w:val="20"/>
              </w:rPr>
              <w:t>Estimated Funding</w:t>
            </w:r>
          </w:p>
        </w:tc>
      </w:tr>
      <w:tr>
        <w:tc>
          <w:tcPr>
            <w:tcW w:type="dxa" w:w="3120"/>
            <w:shd w:fill="ffffff"/>
          </w:tcPr>
          <w:p>
            <w:pPr>
              <w:spacing w:after="80" w:before="80"/>
              <w:jc w:val="left"/>
            </w:pPr>
            <w:r>
              <w:rPr>
                <w:rFonts w:ascii="Calibri" w:hAnsi="Calibri"/>
                <w:color w:val="2C3E50"/>
                <w:sz w:val="20"/>
              </w:rPr>
              <w:t>Conservative</w:t>
            </w:r>
          </w:p>
        </w:tc>
        <w:tc>
          <w:tcPr>
            <w:tcW w:type="dxa" w:w="3120"/>
            <w:shd w:fill="ffffff"/>
          </w:tcPr>
          <w:p>
            <w:pPr>
              <w:spacing w:after="80" w:before="80"/>
              <w:jc w:val="left"/>
            </w:pPr>
            <w:r>
              <w:rPr>
                <w:rFonts w:ascii="Calibri" w:hAnsi="Calibri"/>
                <w:color w:val="2C3E50"/>
                <w:sz w:val="20"/>
              </w:rPr>
              <w:t>1-2 awards</w:t>
            </w:r>
          </w:p>
        </w:tc>
        <w:tc>
          <w:tcPr>
            <w:tcW w:type="dxa" w:w="3120"/>
            <w:shd w:fill="ffffff"/>
          </w:tcPr>
          <w:p>
            <w:pPr>
              <w:spacing w:after="80" w:before="80"/>
              <w:jc w:val="left"/>
            </w:pPr>
            <w:r>
              <w:rPr>
                <w:rFonts w:ascii="Calibri" w:hAnsi="Calibri"/>
                <w:color w:val="2C3E50"/>
                <w:sz w:val="20"/>
              </w:rPr>
              <w:t>$60,000 - $250,000</w:t>
            </w:r>
          </w:p>
        </w:tc>
      </w:tr>
      <w:tr>
        <w:tc>
          <w:tcPr>
            <w:tcW w:type="dxa" w:w="3120"/>
            <w:shd w:fill="f5f7fa"/>
          </w:tcPr>
          <w:p>
            <w:pPr>
              <w:spacing w:after="80" w:before="80"/>
              <w:jc w:val="left"/>
            </w:pPr>
            <w:r>
              <w:rPr>
                <w:rFonts w:ascii="Calibri" w:hAnsi="Calibri"/>
                <w:color w:val="2C3E50"/>
                <w:sz w:val="20"/>
              </w:rPr>
              <w:t>Moderate</w:t>
            </w:r>
          </w:p>
        </w:tc>
        <w:tc>
          <w:tcPr>
            <w:tcW w:type="dxa" w:w="3120"/>
            <w:shd w:fill="f5f7fa"/>
          </w:tcPr>
          <w:p>
            <w:pPr>
              <w:spacing w:after="80" w:before="80"/>
              <w:jc w:val="left"/>
            </w:pPr>
            <w:r>
              <w:rPr>
                <w:rFonts w:ascii="Calibri" w:hAnsi="Calibri"/>
                <w:color w:val="2C3E50"/>
                <w:sz w:val="20"/>
              </w:rPr>
              <w:t>2-3 awards</w:t>
            </w:r>
          </w:p>
        </w:tc>
        <w:tc>
          <w:tcPr>
            <w:tcW w:type="dxa" w:w="3120"/>
            <w:shd w:fill="f5f7fa"/>
          </w:tcPr>
          <w:p>
            <w:pPr>
              <w:spacing w:after="80" w:before="80"/>
              <w:jc w:val="left"/>
            </w:pPr>
            <w:r>
              <w:rPr>
                <w:rFonts w:ascii="Calibri" w:hAnsi="Calibri"/>
                <w:color w:val="2C3E50"/>
                <w:sz w:val="20"/>
              </w:rPr>
              <w:t>$250,000 - $600,000</w:t>
            </w:r>
          </w:p>
        </w:tc>
      </w:tr>
      <w:tr>
        <w:tc>
          <w:tcPr>
            <w:tcW w:type="dxa" w:w="3120"/>
            <w:shd w:fill="ffffff"/>
          </w:tcPr>
          <w:p>
            <w:pPr>
              <w:spacing w:after="80" w:before="80"/>
              <w:jc w:val="left"/>
            </w:pPr>
            <w:r>
              <w:rPr>
                <w:rFonts w:ascii="Calibri" w:hAnsi="Calibri"/>
                <w:color w:val="2C3E50"/>
                <w:sz w:val="20"/>
              </w:rPr>
              <w:t>Ambitious</w:t>
            </w:r>
          </w:p>
        </w:tc>
        <w:tc>
          <w:tcPr>
            <w:tcW w:type="dxa" w:w="3120"/>
            <w:shd w:fill="ffffff"/>
          </w:tcPr>
          <w:p>
            <w:pPr>
              <w:spacing w:after="80" w:before="80"/>
              <w:jc w:val="left"/>
            </w:pPr>
            <w:r>
              <w:rPr>
                <w:rFonts w:ascii="Calibri" w:hAnsi="Calibri"/>
                <w:color w:val="2C3E50"/>
                <w:sz w:val="20"/>
              </w:rPr>
              <w:t>4-5 awards</w:t>
            </w:r>
          </w:p>
        </w:tc>
        <w:tc>
          <w:tcPr>
            <w:tcW w:type="dxa" w:w="3120"/>
            <w:shd w:fill="ffffff"/>
          </w:tcPr>
          <w:p>
            <w:pPr>
              <w:spacing w:after="80" w:before="80"/>
              <w:jc w:val="left"/>
            </w:pPr>
            <w:r>
              <w:rPr>
                <w:rFonts w:ascii="Calibri" w:hAnsi="Calibri"/>
                <w:color w:val="2C3E50"/>
                <w:sz w:val="20"/>
              </w:rPr>
              <w:t>$600,000 - $1,450,000</w:t>
            </w:r>
          </w:p>
        </w:tc>
      </w:tr>
    </w:tbl>
    <w:p/>
    <w:p>
      <w:pPr>
        <w:pStyle w:val="TGSH2"/>
      </w:pPr>
      <w:r>
        <w:t>Key Strengths for This Week's Opportunities</w:t>
      </w:r>
    </w:p>
    <w:p>
      <w:pPr>
        <w:pStyle w:val="ListNumber"/>
      </w:pPr>
      <w:r>
        <w:rPr>
          <w:rFonts w:ascii="Calibri" w:hAnsi="Calibri"/>
          <w:color w:val="2C3E50"/>
          <w:sz w:val="22"/>
        </w:rPr>
        <w:t>Proven Precedent: Mid-Pacific School received $200,000 from Atherton Family Foundation for track and field facilities in 2024 - a direct model for Ka Ulukoa's facility application.</w:t>
      </w:r>
    </w:p>
    <w:p>
      <w:pPr>
        <w:pStyle w:val="ListNumber"/>
      </w:pPr>
      <w:r>
        <w:rPr>
          <w:rFonts w:ascii="Calibri" w:hAnsi="Calibri"/>
          <w:color w:val="2C3E50"/>
          <w:sz w:val="22"/>
        </w:rPr>
        <w:t>Native Hawaiian Alignment: All 5 funders prioritize Native Hawaiian communities and cultural programming, matching Ka Ulukoa's mission and participant demographics.</w:t>
      </w:r>
    </w:p>
    <w:p>
      <w:pPr>
        <w:pStyle w:val="ListNumber"/>
      </w:pPr>
      <w:r>
        <w:rPr>
          <w:rFonts w:ascii="Calibri" w:hAnsi="Calibri"/>
          <w:color w:val="2C3E50"/>
          <w:sz w:val="22"/>
        </w:rPr>
        <w:t>Layered Funding Strategy: Foundation grants from Atherton and Bank of Hawaii can serve as 50% match documentation for LWCF federal funding, potentially doubling total funding secured.</w:t>
      </w:r>
    </w:p>
    <w:p>
      <w:pPr>
        <w:spacing w:before="160" w:after="160"/>
        <w:pBdr>
          <w:bottom w:val="single" w:sz="8" w:color="d4a853"/>
        </w:pBdr>
      </w:pPr>
    </w:p>
    <w:p>
      <w:pPr>
        <w:pStyle w:val="TGSH1"/>
      </w:pPr>
      <w:r>
        <w:t>This Week's Top 5</w:t>
      </w:r>
    </w:p>
    <w:tbl>
      <w:tblPr>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e3a5f"/>
            <w:tcBorders>
              <w:bottom w:val="single" w:sz="12" w:color="d4a853"/>
            </w:tcBorders>
          </w:tcPr>
          <w:p>
            <w:pPr>
              <w:spacing w:after="80" w:before="80"/>
              <w:jc w:val="left"/>
            </w:pPr>
            <w:r>
              <w:rPr>
                <w:rFonts w:ascii="Calibri" w:hAnsi="Calibri"/>
                <w:b/>
                <w:color w:val="FFFFFF"/>
                <w:sz w:val="20"/>
              </w:rPr>
              <w:t>#</w:t>
            </w:r>
          </w:p>
        </w:tc>
        <w:tc>
          <w:tcPr>
            <w:tcW w:type="dxa" w:w="1337"/>
            <w:shd w:fill="1e3a5f"/>
            <w:tcBorders>
              <w:bottom w:val="single" w:sz="12" w:color="d4a853"/>
            </w:tcBorders>
          </w:tcPr>
          <w:p>
            <w:pPr>
              <w:spacing w:after="80" w:before="80"/>
              <w:jc w:val="left"/>
            </w:pPr>
            <w:r>
              <w:rPr>
                <w:rFonts w:ascii="Calibri" w:hAnsi="Calibri"/>
                <w:b/>
                <w:color w:val="FFFFFF"/>
                <w:sz w:val="20"/>
              </w:rPr>
              <w:t>Funder</w:t>
            </w:r>
          </w:p>
        </w:tc>
        <w:tc>
          <w:tcPr>
            <w:tcW w:type="dxa" w:w="1337"/>
            <w:shd w:fill="1e3a5f"/>
            <w:tcBorders>
              <w:bottom w:val="single" w:sz="12" w:color="d4a853"/>
            </w:tcBorders>
          </w:tcPr>
          <w:p>
            <w:pPr>
              <w:spacing w:after="80" w:before="80"/>
              <w:jc w:val="left"/>
            </w:pPr>
            <w:r>
              <w:rPr>
                <w:rFonts w:ascii="Calibri" w:hAnsi="Calibri"/>
                <w:b/>
                <w:color w:val="FFFFFF"/>
                <w:sz w:val="20"/>
              </w:rPr>
              <w:t>Amount</w:t>
            </w:r>
          </w:p>
        </w:tc>
        <w:tc>
          <w:tcPr>
            <w:tcW w:type="dxa" w:w="1337"/>
            <w:shd w:fill="1e3a5f"/>
            <w:tcBorders>
              <w:bottom w:val="single" w:sz="12" w:color="d4a853"/>
            </w:tcBorders>
          </w:tcPr>
          <w:p>
            <w:pPr>
              <w:spacing w:after="80" w:before="80"/>
              <w:jc w:val="left"/>
            </w:pPr>
            <w:r>
              <w:rPr>
                <w:rFonts w:ascii="Calibri" w:hAnsi="Calibri"/>
                <w:b/>
                <w:color w:val="FFFFFF"/>
                <w:sz w:val="20"/>
              </w:rPr>
              <w:t>Deadline</w:t>
            </w:r>
          </w:p>
        </w:tc>
        <w:tc>
          <w:tcPr>
            <w:tcW w:type="dxa" w:w="1337"/>
            <w:shd w:fill="1e3a5f"/>
            <w:tcBorders>
              <w:bottom w:val="single" w:sz="12" w:color="d4a853"/>
            </w:tcBorders>
          </w:tcPr>
          <w:p>
            <w:pPr>
              <w:spacing w:after="80" w:before="80"/>
              <w:jc w:val="left"/>
            </w:pPr>
            <w:r>
              <w:rPr>
                <w:rFonts w:ascii="Calibri" w:hAnsi="Calibri"/>
                <w:b/>
                <w:color w:val="FFFFFF"/>
                <w:sz w:val="20"/>
              </w:rPr>
              <w:t>Fit</w:t>
            </w:r>
          </w:p>
        </w:tc>
        <w:tc>
          <w:tcPr>
            <w:tcW w:type="dxa" w:w="1337"/>
            <w:shd w:fill="1e3a5f"/>
            <w:tcBorders>
              <w:bottom w:val="single" w:sz="12" w:color="d4a853"/>
            </w:tcBorders>
          </w:tcPr>
          <w:p>
            <w:pPr>
              <w:spacing w:after="80" w:before="80"/>
              <w:jc w:val="left"/>
            </w:pPr>
            <w:r>
              <w:rPr>
                <w:rFonts w:ascii="Calibri" w:hAnsi="Calibri"/>
                <w:b/>
                <w:color w:val="FFFFFF"/>
                <w:sz w:val="20"/>
              </w:rPr>
              <w:t>Effort</w:t>
            </w:r>
          </w:p>
        </w:tc>
        <w:tc>
          <w:tcPr>
            <w:tcW w:type="dxa" w:w="1337"/>
            <w:shd w:fill="1e3a5f"/>
            <w:tcBorders>
              <w:bottom w:val="single" w:sz="12" w:color="d4a853"/>
            </w:tcBorders>
          </w:tcPr>
          <w:p>
            <w:pPr>
              <w:spacing w:after="80" w:before="80"/>
              <w:jc w:val="left"/>
            </w:pPr>
            <w:r>
              <w:rPr>
                <w:rFonts w:ascii="Calibri" w:hAnsi="Calibri"/>
                <w:b/>
                <w:color w:val="FFFFFF"/>
                <w:sz w:val="20"/>
              </w:rPr>
              <w:t>Status</w:t>
            </w:r>
          </w:p>
        </w:tc>
      </w:tr>
      <w:tr>
        <w:tc>
          <w:tcPr>
            <w:tcW w:type="dxa" w:w="1337"/>
            <w:shd w:fill="ffffff"/>
          </w:tcPr>
          <w:p>
            <w:pPr>
              <w:spacing w:after="80" w:before="80"/>
              <w:jc w:val="left"/>
            </w:pPr>
            <w:r>
              <w:rPr>
                <w:rFonts w:ascii="Calibri" w:hAnsi="Calibri"/>
                <w:color w:val="2C3E50"/>
                <w:sz w:val="20"/>
              </w:rPr>
              <w:t>1</w:t>
            </w:r>
          </w:p>
        </w:tc>
        <w:tc>
          <w:tcPr>
            <w:tcW w:type="dxa" w:w="1337"/>
            <w:shd w:fill="ffffff"/>
          </w:tcPr>
          <w:p>
            <w:pPr>
              <w:spacing w:after="80" w:before="80"/>
              <w:jc w:val="left"/>
            </w:pPr>
            <w:r>
              <w:rPr>
                <w:rFonts w:ascii="Calibri" w:hAnsi="Calibri"/>
                <w:color w:val="2C3E50"/>
                <w:sz w:val="20"/>
              </w:rPr>
              <w:t>Atherton Family Foundation</w:t>
            </w:r>
          </w:p>
        </w:tc>
        <w:tc>
          <w:tcPr>
            <w:tcW w:type="dxa" w:w="1337"/>
            <w:shd w:fill="ffffff"/>
          </w:tcPr>
          <w:p>
            <w:pPr>
              <w:spacing w:after="80" w:before="80"/>
              <w:jc w:val="left"/>
            </w:pPr>
            <w:r>
              <w:rPr>
                <w:rFonts w:ascii="Calibri" w:hAnsi="Calibri"/>
                <w:color w:val="2C3E50"/>
                <w:sz w:val="20"/>
              </w:rPr>
              <w:t>$10,000 - $200,000</w:t>
            </w:r>
          </w:p>
        </w:tc>
        <w:tc>
          <w:tcPr>
            <w:tcW w:type="dxa" w:w="1337"/>
            <w:shd w:fill="ffffff"/>
          </w:tcPr>
          <w:p>
            <w:pPr>
              <w:spacing w:after="80" w:before="80"/>
              <w:jc w:val="left"/>
            </w:pPr>
            <w:r>
              <w:rPr>
                <w:rFonts w:ascii="Calibri" w:hAnsi="Calibri"/>
                <w:color w:val="2C3E50"/>
                <w:sz w:val="20"/>
              </w:rPr>
              <w:t>Jan 5, 2026</w:t>
            </w:r>
          </w:p>
        </w:tc>
        <w:tc>
          <w:tcPr>
            <w:tcW w:type="dxa" w:w="1337"/>
            <w:shd w:fill="ffffff"/>
          </w:tcPr>
          <w:p>
            <w:pPr>
              <w:spacing w:after="80" w:before="80"/>
              <w:jc w:val="left"/>
            </w:pPr>
            <w:r>
              <w:rPr>
                <w:rFonts w:ascii="Calibri" w:hAnsi="Calibri"/>
                <w:color w:val="2C3E50"/>
                <w:sz w:val="20"/>
              </w:rPr>
              <w:t>9/10</w:t>
            </w:r>
          </w:p>
        </w:tc>
        <w:tc>
          <w:tcPr>
            <w:tcW w:type="dxa" w:w="1337"/>
            <w:shd w:fill="ffffff"/>
          </w:tcPr>
          <w:p>
            <w:pPr>
              <w:spacing w:after="80" w:before="80"/>
              <w:jc w:val="left"/>
            </w:pPr>
            <w:r>
              <w:rPr>
                <w:rFonts w:ascii="Calibri" w:hAnsi="Calibri"/>
                <w:color w:val="2C3E50"/>
                <w:sz w:val="20"/>
              </w:rPr>
              <w:t>Medium</w:t>
            </w:r>
          </w:p>
        </w:tc>
        <w:tc>
          <w:tcPr>
            <w:tcW w:type="dxa" w:w="1337"/>
            <w:shd w:fill="ffffff"/>
          </w:tcPr>
          <w:p>
            <w:pPr>
              <w:spacing w:after="80" w:before="80"/>
              <w:jc w:val="left"/>
            </w:pPr>
            <w:r>
              <w:rPr>
                <w:rFonts w:ascii="Calibri" w:hAnsi="Calibri"/>
                <w:b/>
                <w:color w:val="DC3545"/>
                <w:sz w:val="20"/>
              </w:rPr>
              <w:t>URGENT</w:t>
            </w:r>
          </w:p>
        </w:tc>
      </w:tr>
      <w:tr>
        <w:tc>
          <w:tcPr>
            <w:tcW w:type="dxa" w:w="1337"/>
            <w:shd w:fill="f5f7fa"/>
          </w:tcPr>
          <w:p>
            <w:pPr>
              <w:spacing w:after="80" w:before="80"/>
              <w:jc w:val="left"/>
            </w:pPr>
            <w:r>
              <w:rPr>
                <w:rFonts w:ascii="Calibri" w:hAnsi="Calibri"/>
                <w:color w:val="2C3E50"/>
                <w:sz w:val="20"/>
              </w:rPr>
              <w:t>2</w:t>
            </w:r>
          </w:p>
        </w:tc>
        <w:tc>
          <w:tcPr>
            <w:tcW w:type="dxa" w:w="1337"/>
            <w:shd w:fill="f5f7fa"/>
          </w:tcPr>
          <w:p>
            <w:pPr>
              <w:spacing w:after="80" w:before="80"/>
              <w:jc w:val="left"/>
            </w:pPr>
            <w:r>
              <w:rPr>
                <w:rFonts w:ascii="Calibri" w:hAnsi="Calibri"/>
                <w:color w:val="2C3E50"/>
                <w:sz w:val="20"/>
              </w:rPr>
              <w:t>Bank of Hawaii Foundation</w:t>
            </w:r>
          </w:p>
        </w:tc>
        <w:tc>
          <w:tcPr>
            <w:tcW w:type="dxa" w:w="1337"/>
            <w:shd w:fill="f5f7fa"/>
          </w:tcPr>
          <w:p>
            <w:pPr>
              <w:spacing w:after="80" w:before="80"/>
              <w:jc w:val="left"/>
            </w:pPr>
            <w:r>
              <w:rPr>
                <w:rFonts w:ascii="Calibri" w:hAnsi="Calibri"/>
                <w:color w:val="2C3E50"/>
                <w:sz w:val="20"/>
              </w:rPr>
              <w:t>$5,000 - $50,000</w:t>
            </w:r>
          </w:p>
        </w:tc>
        <w:tc>
          <w:tcPr>
            <w:tcW w:type="dxa" w:w="1337"/>
            <w:shd w:fill="f5f7fa"/>
          </w:tcPr>
          <w:p>
            <w:pPr>
              <w:spacing w:after="80" w:before="80"/>
              <w:jc w:val="left"/>
            </w:pPr>
            <w:r>
              <w:rPr>
                <w:rFonts w:ascii="Calibri" w:hAnsi="Calibri"/>
                <w:color w:val="2C3E50"/>
                <w:sz w:val="20"/>
              </w:rPr>
              <w:t>Jan 2026</w:t>
            </w:r>
          </w:p>
        </w:tc>
        <w:tc>
          <w:tcPr>
            <w:tcW w:type="dxa" w:w="1337"/>
            <w:shd w:fill="f5f7fa"/>
          </w:tcPr>
          <w:p>
            <w:pPr>
              <w:spacing w:after="80" w:before="80"/>
              <w:jc w:val="left"/>
            </w:pPr>
            <w:r>
              <w:rPr>
                <w:rFonts w:ascii="Calibri" w:hAnsi="Calibri"/>
                <w:color w:val="2C3E50"/>
                <w:sz w:val="20"/>
              </w:rPr>
              <w:t>8/10</w:t>
            </w:r>
          </w:p>
        </w:tc>
        <w:tc>
          <w:tcPr>
            <w:tcW w:type="dxa" w:w="1337"/>
            <w:shd w:fill="f5f7fa"/>
          </w:tcPr>
          <w:p>
            <w:pPr>
              <w:spacing w:after="80" w:before="80"/>
              <w:jc w:val="left"/>
            </w:pPr>
            <w:r>
              <w:rPr>
                <w:rFonts w:ascii="Calibri" w:hAnsi="Calibri"/>
                <w:color w:val="2C3E50"/>
                <w:sz w:val="20"/>
              </w:rPr>
              <w:t>Low</w:t>
            </w:r>
          </w:p>
        </w:tc>
        <w:tc>
          <w:tcPr>
            <w:tcW w:type="dxa" w:w="1337"/>
            <w:shd w:fill="f5f7fa"/>
          </w:tcPr>
          <w:p>
            <w:pPr>
              <w:spacing w:after="80" w:before="80"/>
              <w:jc w:val="left"/>
            </w:pPr>
            <w:r>
              <w:rPr>
                <w:rFonts w:ascii="Calibri" w:hAnsi="Calibri"/>
                <w:b/>
                <w:color w:val="B8923D"/>
                <w:sz w:val="20"/>
              </w:rPr>
              <w:t>HIGH</w:t>
            </w:r>
          </w:p>
        </w:tc>
      </w:tr>
      <w:tr>
        <w:tc>
          <w:tcPr>
            <w:tcW w:type="dxa" w:w="1337"/>
            <w:shd w:fill="ffffff"/>
          </w:tcPr>
          <w:p>
            <w:pPr>
              <w:spacing w:after="80" w:before="80"/>
              <w:jc w:val="left"/>
            </w:pPr>
            <w:r>
              <w:rPr>
                <w:rFonts w:ascii="Calibri" w:hAnsi="Calibri"/>
                <w:color w:val="2C3E50"/>
                <w:sz w:val="20"/>
              </w:rPr>
              <w:t>3</w:t>
            </w:r>
          </w:p>
        </w:tc>
        <w:tc>
          <w:tcPr>
            <w:tcW w:type="dxa" w:w="1337"/>
            <w:shd w:fill="ffffff"/>
          </w:tcPr>
          <w:p>
            <w:pPr>
              <w:spacing w:after="80" w:before="80"/>
              <w:jc w:val="left"/>
            </w:pPr>
            <w:r>
              <w:rPr>
                <w:rFonts w:ascii="Calibri" w:hAnsi="Calibri"/>
                <w:color w:val="2C3E50"/>
                <w:sz w:val="20"/>
              </w:rPr>
              <w:t>Harry &amp; Jeanette Weinberg Foundation</w:t>
            </w:r>
          </w:p>
        </w:tc>
        <w:tc>
          <w:tcPr>
            <w:tcW w:type="dxa" w:w="1337"/>
            <w:shd w:fill="ffffff"/>
          </w:tcPr>
          <w:p>
            <w:pPr>
              <w:spacing w:after="80" w:before="80"/>
              <w:jc w:val="left"/>
            </w:pPr>
            <w:r>
              <w:rPr>
                <w:rFonts w:ascii="Calibri" w:hAnsi="Calibri"/>
                <w:color w:val="2C3E50"/>
                <w:sz w:val="20"/>
              </w:rPr>
              <w:t>$50,000 - $500,000</w:t>
            </w:r>
          </w:p>
        </w:tc>
        <w:tc>
          <w:tcPr>
            <w:tcW w:type="dxa" w:w="1337"/>
            <w:shd w:fill="ffffff"/>
          </w:tcPr>
          <w:p>
            <w:pPr>
              <w:spacing w:after="80" w:before="80"/>
              <w:jc w:val="left"/>
            </w:pPr>
            <w:r>
              <w:rPr>
                <w:rFonts w:ascii="Calibri" w:hAnsi="Calibri"/>
                <w:color w:val="2C3E50"/>
                <w:sz w:val="20"/>
              </w:rPr>
              <w:t>Rolling</w:t>
            </w:r>
          </w:p>
        </w:tc>
        <w:tc>
          <w:tcPr>
            <w:tcW w:type="dxa" w:w="1337"/>
            <w:shd w:fill="ffffff"/>
          </w:tcPr>
          <w:p>
            <w:pPr>
              <w:spacing w:after="80" w:before="80"/>
              <w:jc w:val="left"/>
            </w:pPr>
            <w:r>
              <w:rPr>
                <w:rFonts w:ascii="Calibri" w:hAnsi="Calibri"/>
                <w:color w:val="2C3E50"/>
                <w:sz w:val="20"/>
              </w:rPr>
              <w:t>8/10</w:t>
            </w:r>
          </w:p>
        </w:tc>
        <w:tc>
          <w:tcPr>
            <w:tcW w:type="dxa" w:w="1337"/>
            <w:shd w:fill="ffffff"/>
          </w:tcPr>
          <w:p>
            <w:pPr>
              <w:spacing w:after="80" w:before="80"/>
              <w:jc w:val="left"/>
            </w:pPr>
            <w:r>
              <w:rPr>
                <w:rFonts w:ascii="Calibri" w:hAnsi="Calibri"/>
                <w:b/>
                <w:color w:val="B8923D"/>
                <w:sz w:val="20"/>
              </w:rPr>
              <w:t>High</w:t>
            </w:r>
          </w:p>
        </w:tc>
        <w:tc>
          <w:tcPr>
            <w:tcW w:type="dxa" w:w="1337"/>
            <w:shd w:fill="ffffff"/>
          </w:tcPr>
          <w:p>
            <w:pPr>
              <w:spacing w:after="80" w:before="80"/>
              <w:jc w:val="left"/>
            </w:pPr>
            <w:r>
              <w:rPr>
                <w:rFonts w:ascii="Calibri" w:hAnsi="Calibri"/>
                <w:b/>
                <w:color w:val="B8923D"/>
                <w:sz w:val="20"/>
              </w:rPr>
              <w:t>HIGH</w:t>
            </w:r>
          </w:p>
        </w:tc>
      </w:tr>
      <w:tr>
        <w:tc>
          <w:tcPr>
            <w:tcW w:type="dxa" w:w="1337"/>
            <w:shd w:fill="f5f7fa"/>
          </w:tcPr>
          <w:p>
            <w:pPr>
              <w:spacing w:after="80" w:before="80"/>
              <w:jc w:val="left"/>
            </w:pPr>
            <w:r>
              <w:rPr>
                <w:rFonts w:ascii="Calibri" w:hAnsi="Calibri"/>
                <w:color w:val="2C3E50"/>
                <w:sz w:val="20"/>
              </w:rPr>
              <w:t>4</w:t>
            </w:r>
          </w:p>
        </w:tc>
        <w:tc>
          <w:tcPr>
            <w:tcW w:type="dxa" w:w="1337"/>
            <w:shd w:fill="f5f7fa"/>
          </w:tcPr>
          <w:p>
            <w:pPr>
              <w:spacing w:after="80" w:before="80"/>
              <w:jc w:val="left"/>
            </w:pPr>
            <w:r>
              <w:rPr>
                <w:rFonts w:ascii="Calibri" w:hAnsi="Calibri"/>
                <w:color w:val="2C3E50"/>
                <w:sz w:val="20"/>
              </w:rPr>
              <w:t>Hawaii Community Foundation</w:t>
            </w:r>
          </w:p>
        </w:tc>
        <w:tc>
          <w:tcPr>
            <w:tcW w:type="dxa" w:w="1337"/>
            <w:shd w:fill="f5f7fa"/>
          </w:tcPr>
          <w:p>
            <w:pPr>
              <w:spacing w:after="80" w:before="80"/>
              <w:jc w:val="left"/>
            </w:pPr>
            <w:r>
              <w:rPr>
                <w:rFonts w:ascii="Calibri" w:hAnsi="Calibri"/>
                <w:color w:val="2C3E50"/>
                <w:sz w:val="20"/>
              </w:rPr>
              <w:t>$25,000 - $100,000</w:t>
            </w:r>
          </w:p>
        </w:tc>
        <w:tc>
          <w:tcPr>
            <w:tcW w:type="dxa" w:w="1337"/>
            <w:shd w:fill="f5f7fa"/>
          </w:tcPr>
          <w:p>
            <w:pPr>
              <w:spacing w:after="80" w:before="80"/>
              <w:jc w:val="left"/>
            </w:pPr>
            <w:r>
              <w:rPr>
                <w:rFonts w:ascii="Calibri" w:hAnsi="Calibri"/>
                <w:color w:val="2C3E50"/>
                <w:sz w:val="20"/>
              </w:rPr>
              <w:t>April 2026</w:t>
            </w:r>
          </w:p>
        </w:tc>
        <w:tc>
          <w:tcPr>
            <w:tcW w:type="dxa" w:w="1337"/>
            <w:shd w:fill="f5f7fa"/>
          </w:tcPr>
          <w:p>
            <w:pPr>
              <w:spacing w:after="80" w:before="80"/>
              <w:jc w:val="left"/>
            </w:pPr>
            <w:r>
              <w:rPr>
                <w:rFonts w:ascii="Calibri" w:hAnsi="Calibri"/>
                <w:color w:val="2C3E50"/>
                <w:sz w:val="20"/>
              </w:rPr>
              <w:t>9/10</w:t>
            </w:r>
          </w:p>
        </w:tc>
        <w:tc>
          <w:tcPr>
            <w:tcW w:type="dxa" w:w="1337"/>
            <w:shd w:fill="f5f7fa"/>
          </w:tcPr>
          <w:p>
            <w:pPr>
              <w:spacing w:after="80" w:before="80"/>
              <w:jc w:val="left"/>
            </w:pPr>
            <w:r>
              <w:rPr>
                <w:rFonts w:ascii="Calibri" w:hAnsi="Calibri"/>
                <w:color w:val="2C3E50"/>
                <w:sz w:val="20"/>
              </w:rPr>
              <w:t>Medium</w:t>
            </w:r>
          </w:p>
        </w:tc>
        <w:tc>
          <w:tcPr>
            <w:tcW w:type="dxa" w:w="1337"/>
            <w:shd w:fill="f5f7fa"/>
          </w:tcPr>
          <w:p>
            <w:pPr>
              <w:spacing w:after="80" w:before="80"/>
              <w:jc w:val="left"/>
            </w:pPr>
            <w:r>
              <w:rPr>
                <w:rFonts w:ascii="Calibri" w:hAnsi="Calibri"/>
                <w:color w:val="2C3E50"/>
                <w:sz w:val="20"/>
              </w:rPr>
              <w:t>MEDIUM</w:t>
            </w:r>
          </w:p>
        </w:tc>
      </w:tr>
      <w:tr>
        <w:tc>
          <w:tcPr>
            <w:tcW w:type="dxa" w:w="1337"/>
            <w:shd w:fill="ffffff"/>
          </w:tcPr>
          <w:p>
            <w:pPr>
              <w:spacing w:after="80" w:before="80"/>
              <w:jc w:val="left"/>
            </w:pPr>
            <w:r>
              <w:rPr>
                <w:rFonts w:ascii="Calibri" w:hAnsi="Calibri"/>
                <w:color w:val="2C3E50"/>
                <w:sz w:val="20"/>
              </w:rPr>
              <w:t>5</w:t>
            </w:r>
          </w:p>
        </w:tc>
        <w:tc>
          <w:tcPr>
            <w:tcW w:type="dxa" w:w="1337"/>
            <w:shd w:fill="ffffff"/>
          </w:tcPr>
          <w:p>
            <w:pPr>
              <w:spacing w:after="80" w:before="80"/>
              <w:jc w:val="left"/>
            </w:pPr>
            <w:r>
              <w:rPr>
                <w:rFonts w:ascii="Calibri" w:hAnsi="Calibri"/>
                <w:color w:val="2C3E50"/>
                <w:sz w:val="20"/>
              </w:rPr>
              <w:t>Land &amp; Water Conservation Fund</w:t>
            </w:r>
          </w:p>
        </w:tc>
        <w:tc>
          <w:tcPr>
            <w:tcW w:type="dxa" w:w="1337"/>
            <w:shd w:fill="ffffff"/>
          </w:tcPr>
          <w:p>
            <w:pPr>
              <w:spacing w:after="80" w:before="80"/>
              <w:jc w:val="left"/>
            </w:pPr>
            <w:r>
              <w:rPr>
                <w:rFonts w:ascii="Calibri" w:hAnsi="Calibri"/>
                <w:color w:val="2C3E50"/>
                <w:sz w:val="20"/>
              </w:rPr>
              <w:t>$50,000 - $500,000</w:t>
            </w:r>
          </w:p>
        </w:tc>
        <w:tc>
          <w:tcPr>
            <w:tcW w:type="dxa" w:w="1337"/>
            <w:shd w:fill="ffffff"/>
          </w:tcPr>
          <w:p>
            <w:pPr>
              <w:spacing w:after="80" w:before="80"/>
              <w:jc w:val="left"/>
            </w:pPr>
            <w:r>
              <w:rPr>
                <w:rFonts w:ascii="Calibri" w:hAnsi="Calibri"/>
                <w:color w:val="2C3E50"/>
                <w:sz w:val="20"/>
              </w:rPr>
              <w:t>Contact DLNR</w:t>
            </w:r>
          </w:p>
        </w:tc>
        <w:tc>
          <w:tcPr>
            <w:tcW w:type="dxa" w:w="1337"/>
            <w:shd w:fill="ffffff"/>
          </w:tcPr>
          <w:p>
            <w:pPr>
              <w:spacing w:after="80" w:before="80"/>
              <w:jc w:val="left"/>
            </w:pPr>
            <w:r>
              <w:rPr>
                <w:rFonts w:ascii="Calibri" w:hAnsi="Calibri"/>
                <w:color w:val="2C3E50"/>
                <w:sz w:val="20"/>
              </w:rPr>
              <w:t>8/10</w:t>
            </w:r>
          </w:p>
        </w:tc>
        <w:tc>
          <w:tcPr>
            <w:tcW w:type="dxa" w:w="1337"/>
            <w:shd w:fill="ffffff"/>
          </w:tcPr>
          <w:p>
            <w:pPr>
              <w:spacing w:after="80" w:before="80"/>
              <w:jc w:val="left"/>
            </w:pPr>
            <w:r>
              <w:rPr>
                <w:rFonts w:ascii="Calibri" w:hAnsi="Calibri"/>
                <w:b/>
                <w:color w:val="B8923D"/>
                <w:sz w:val="20"/>
              </w:rPr>
              <w:t>High</w:t>
            </w:r>
          </w:p>
        </w:tc>
        <w:tc>
          <w:tcPr>
            <w:tcW w:type="dxa" w:w="1337"/>
            <w:shd w:fill="ffffff"/>
          </w:tcPr>
          <w:p>
            <w:pPr>
              <w:spacing w:after="80" w:before="80"/>
              <w:jc w:val="left"/>
            </w:pPr>
            <w:r>
              <w:rPr>
                <w:rFonts w:ascii="Calibri" w:hAnsi="Calibri"/>
                <w:color w:val="2C3E50"/>
                <w:sz w:val="20"/>
              </w:rPr>
              <w:t>MEDIUM</w:t>
            </w:r>
          </w:p>
        </w:tc>
      </w:tr>
    </w:tbl>
    <w:p/>
    <w:p>
      <w:pPr>
        <w:pStyle w:val="TGSMeta"/>
      </w:pPr>
      <w:r>
        <w:rPr>
          <w:rFonts w:ascii="Calibri" w:hAnsi="Calibri"/>
          <w:b/>
          <w:color w:val="2C3E50"/>
          <w:sz w:val="22"/>
        </w:rPr>
        <w:t xml:space="preserve">Fit Score: </w:t>
      </w:r>
      <w:r>
        <w:rPr>
          <w:rFonts w:ascii="Calibri" w:hAnsi="Calibri"/>
          <w:color w:val="6C757D"/>
          <w:sz w:val="22"/>
        </w:rPr>
        <w:t>Mission alignment, funding range match, geographic eligibility, timeline feasibility</w:t>
      </w:r>
    </w:p>
    <w:p>
      <w:pPr>
        <w:pStyle w:val="TGSMeta"/>
      </w:pPr>
      <w:r>
        <w:rPr>
          <w:rFonts w:ascii="Calibri" w:hAnsi="Calibri"/>
          <w:b/>
          <w:color w:val="2C3E50"/>
          <w:sz w:val="22"/>
        </w:rPr>
        <w:t xml:space="preserve">Effort: </w:t>
      </w:r>
      <w:r>
        <w:rPr>
          <w:rFonts w:ascii="Calibri" w:hAnsi="Calibri"/>
          <w:color w:val="6C757D"/>
          <w:sz w:val="22"/>
        </w:rPr>
        <w:t>Low = LOI/simple application | Medium = Standard proposal | High = Federal/complex package</w:t>
      </w:r>
    </w:p>
    <w:p>
      <w:pPr>
        <w:pStyle w:val="TGSH2"/>
      </w:pPr>
      <w:r>
        <w:t>Why Not This Week</w:t>
      </w:r>
    </w:p>
    <w:p>
      <w:pPr>
        <w:pStyle w:val="TGSBody"/>
      </w:pPr>
      <w:r>
        <w:rPr>
          <w:rFonts w:ascii="Calibri" w:hAnsi="Calibri"/>
          <w:color w:val="2C3E50"/>
          <w:sz w:val="22"/>
        </w:rPr>
        <w:t>We reviewed 12 additional Hawaii funding opportunities but excluded them because: deadlines were too far out for immediate action (Harold K.L. Castle Foundation - July 2026), funding amounts were below facility project requirements (USATF Youth Club Grants - $1,000 max for equipment only), or the funder was not currently accepting unsolicited proposals (Alexander &amp; Baldwin Foundation).</w:t>
      </w:r>
    </w:p>
    <w:p>
      <w:pPr>
        <w:spacing w:before="160" w:after="160"/>
        <w:pBdr>
          <w:bottom w:val="single" w:sz="8" w:color="d4a853"/>
        </w:pBdr>
      </w:pPr>
    </w:p>
    <w:p>
      <w:pPr>
        <w:pStyle w:val="TGSH1"/>
      </w:pPr>
      <w:r>
        <w:t>Opportunity #1: Atherton Family Foundation</w:t>
      </w:r>
    </w:p>
    <w:p>
      <w:pPr>
        <w:pStyle w:val="TGSUrgent"/>
      </w:pPr>
      <w:r>
        <w:rPr>
          <w:b/>
          <w:color w:val="DC3545"/>
          <w:sz w:val="22"/>
        </w:rPr>
        <w:t>URGENT - Deadline: January 5, 2026, 4:00 PM HST</w:t>
      </w:r>
    </w:p>
    <w:p>
      <w:pPr>
        <w:pStyle w:val="TGSH2"/>
      </w:pPr>
      <w:r>
        <w:t>Why This Fits</w:t>
      </w:r>
    </w:p>
    <w:p>
      <w:pPr>
        <w:pStyle w:val="TGSBody"/>
      </w:pPr>
      <w:r>
        <w:rPr>
          <w:rFonts w:ascii="Calibri" w:hAnsi="Calibri"/>
          <w:color w:val="2C3E50"/>
          <w:sz w:val="22"/>
        </w:rPr>
        <w:t>Ka Ulukoa's facility acquisition project aligns directly with Atherton's capital funding priorities, which include buildings, equipment, and infrastructure for Hawaii nonprofits. The foundation awarded Mid-Pacific School $200,000 for track and field facilities in 2024, demonstrating proven support for athletics infrastructure. With 86% of Atherton grants staying in Hawaii and a median capital grant of $38,000 (maximum $200,000), Ka Ulukoa's request falls within their established giving patterns. The January 5 deadline provides time to assemble a compelling application during the upcoming weeks.</w:t>
      </w:r>
    </w:p>
    <w:p>
      <w:pPr>
        <w:pStyle w:val="TGSH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$10,000 - $200,000 (capital grants up to $200K)</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January 5, 2026, 4:00 PM HST</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hawaiicf.smartsimple.com</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Elizabeth Lentz-Hill, elentzhill@hcf-hawaii.org, (808) 566-5543</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TGSH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$5.3M across 282 grants (2020)</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$10,000 median (range: $1,000 - $205,000)</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86% Hawaii, 4% California</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color w:val="2C3E50"/>
                <w:sz w:val="20"/>
              </w:rPr>
              <w:t>5.5% of recipients funded 2+ times</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20% program-specific, 7% general support, 5% capital</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Hawaii nonprofits across education, community, health sectors</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Stable ($5.3M in 2020)</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St. Anthony School - Maui received $25,000 for Multi-Sport Athletic Center (2020)</w:t>
            </w:r>
          </w:p>
        </w:tc>
      </w:tr>
    </w:tbl>
    <w:p/>
    <w:p>
      <w:pPr>
        <w:pStyle w:val="TGSH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None Identified</w:t>
            </w:r>
          </w:p>
        </w:tc>
        <w:tc>
          <w:tcPr>
            <w:tcW w:type="dxa" w:w="4680"/>
            <w:shd w:fill="ffffff"/>
          </w:tcPr>
          <w:p>
            <w:pPr>
              <w:spacing w:after="80" w:before="80"/>
              <w:jc w:val="left"/>
            </w:pPr>
            <w:r>
              <w:rPr>
                <w:rFonts w:ascii="Calibri" w:hAnsi="Calibri"/>
                <w:color w:val="2C3E50"/>
                <w:sz w:val="20"/>
              </w:rPr>
              <w:t>Research Ka Ulukoa board members for potential HCF/Atherton connections</w:t>
            </w:r>
          </w:p>
        </w:tc>
      </w:tr>
    </w:tbl>
    <w:p/>
    <w:p>
      <w:pPr>
        <w:pStyle w:val="TGSH2"/>
      </w:pPr>
      <w:r>
        <w:t>Application Requirements</w:t>
      </w:r>
    </w:p>
    <w:p>
      <w:pPr>
        <w:pStyle w:val="ListBullet"/>
      </w:pPr>
      <w:r>
        <w:rPr>
          <w:rFonts w:ascii="Calibri" w:hAnsi="Calibri"/>
          <w:color w:val="2C3E50"/>
          <w:sz w:val="22"/>
        </w:rPr>
        <w:t>IRS 501(c)(3) determination letter</w:t>
      </w:r>
    </w:p>
    <w:p>
      <w:pPr>
        <w:pStyle w:val="ListBullet"/>
      </w:pPr>
      <w:r>
        <w:rPr>
          <w:rFonts w:ascii="Calibri" w:hAnsi="Calibri"/>
          <w:color w:val="2C3E50"/>
          <w:sz w:val="22"/>
        </w:rPr>
        <w:t>Financial statements (last 2 years, audited preferred)</w:t>
      </w:r>
    </w:p>
    <w:p>
      <w:pPr>
        <w:pStyle w:val="ListBullet"/>
      </w:pPr>
      <w:r>
        <w:rPr>
          <w:rFonts w:ascii="Calibri" w:hAnsi="Calibri"/>
          <w:color w:val="2C3E50"/>
          <w:sz w:val="22"/>
        </w:rPr>
        <w:t>Project budget with detailed line items</w:t>
      </w:r>
    </w:p>
    <w:p>
      <w:pPr>
        <w:pStyle w:val="ListBullet"/>
      </w:pPr>
      <w:r>
        <w:rPr>
          <w:rFonts w:ascii="Calibri" w:hAnsi="Calibri"/>
          <w:color w:val="2C3E50"/>
          <w:sz w:val="22"/>
        </w:rPr>
        <w:t>Project timeline with milestones</w:t>
      </w:r>
    </w:p>
    <w:p>
      <w:pPr>
        <w:pStyle w:val="ListBullet"/>
      </w:pPr>
      <w:r>
        <w:rPr>
          <w:rFonts w:ascii="Calibri" w:hAnsi="Calibri"/>
          <w:color w:val="2C3E50"/>
          <w:sz w:val="22"/>
        </w:rPr>
        <w:t>Board of Directors list with affiliations</w:t>
      </w:r>
    </w:p>
    <w:p>
      <w:pPr>
        <w:pStyle w:val="ListBullet"/>
      </w:pPr>
      <w:r>
        <w:rPr>
          <w:rFonts w:ascii="Calibri" w:hAnsi="Calibri"/>
          <w:color w:val="2C3E50"/>
          <w:sz w:val="22"/>
        </w:rPr>
        <w:t>Current organizational budget</w:t>
      </w:r>
    </w:p>
    <w:p>
      <w:pPr>
        <w:pStyle w:val="ListBullet"/>
      </w:pPr>
      <w:r>
        <w:rPr>
          <w:rFonts w:ascii="Calibri" w:hAnsi="Calibri"/>
          <w:color w:val="2C3E50"/>
          <w:sz w:val="22"/>
        </w:rPr>
        <w:t>Proof of 60% funding secured (if total project exceeds $500K)</w:t>
      </w:r>
    </w:p>
    <w:p>
      <w:pPr>
        <w:pStyle w:val="TGSH2"/>
      </w:pPr>
      <w:r>
        <w:t>Positioning Strategy</w:t>
      </w:r>
    </w:p>
    <w:p>
      <w:pPr>
        <w:pStyle w:val="TGSBody"/>
      </w:pPr>
      <w:r>
        <w:rPr>
          <w:rFonts w:ascii="Calibri" w:hAnsi="Calibri"/>
          <w:color w:val="2C3E50"/>
          <w:sz w:val="22"/>
        </w:rPr>
        <w:t>Lead with the Mid-Pacific School precedent - Atherton awarded $200,000 for athletics facilities in 2024, demonstrating explicit support for sports infrastructure. Request $150,000-$200,000 given their capital grant maximum, positioning this as a major but achievable ask based on their 2020 grant of $25,000 to St. Anthony School for a multi-sport center. Emphasize that 86% of Atherton funding stays in Hawaii; highlight Ka Ulukoa's exclusive Hawaii focus and Native Hawaiian youth participation rates. Reference the foundation's 5.5% repeat funding rate as an opportunity for multi-year partnership if this initial relationship succeeds.</w:t>
      </w:r>
    </w:p>
    <w:p>
      <w:pPr>
        <w:pStyle w:val="TGSH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Register on hawaiicf.smartsimple.com portal</w:t>
            </w:r>
          </w:p>
        </w:tc>
        <w:tc>
          <w:tcPr>
            <w:tcW w:type="dxa" w:w="3120"/>
            <w:shd w:fill="ffffff"/>
          </w:tcPr>
          <w:p>
            <w:pPr>
              <w:spacing w:after="80" w:before="80"/>
              <w:jc w:val="left"/>
            </w:pPr>
            <w:r>
              <w:rPr>
                <w:rFonts w:ascii="Calibri" w:hAnsi="Calibri"/>
                <w:color w:val="2C3E50"/>
                <w:sz w:val="20"/>
              </w:rPr>
              <w:t>Nov 29,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Gather 2-year audited financial statements</w:t>
            </w:r>
          </w:p>
        </w:tc>
        <w:tc>
          <w:tcPr>
            <w:tcW w:type="dxa" w:w="3120"/>
            <w:shd w:fill="f5f7fa"/>
          </w:tcPr>
          <w:p>
            <w:pPr>
              <w:spacing w:after="80" w:before="80"/>
              <w:jc w:val="left"/>
            </w:pPr>
            <w:r>
              <w:rPr>
                <w:rFonts w:ascii="Calibri" w:hAnsi="Calibri"/>
                <w:color w:val="2C3E50"/>
                <w:sz w:val="20"/>
              </w:rPr>
              <w:t>Dec 6, 2025</w:t>
            </w:r>
          </w:p>
        </w:tc>
        <w:tc>
          <w:tcPr>
            <w:tcW w:type="dxa" w:w="3120"/>
            <w:shd w:fill="f5f7fa"/>
          </w:tcPr>
          <w:p>
            <w:pPr>
              <w:spacing w:after="80" w:before="80"/>
              <w:jc w:val="left"/>
            </w:pPr>
            <w:r>
              <w:rPr>
                <w:rFonts w:ascii="Calibri" w:hAnsi="Calibri"/>
                <w:color w:val="2C3E50"/>
                <w:sz w:val="20"/>
              </w:rPr>
              <w:t>Finance Director</w:t>
            </w:r>
          </w:p>
        </w:tc>
      </w:tr>
      <w:tr>
        <w:tc>
          <w:tcPr>
            <w:tcW w:type="dxa" w:w="3120"/>
            <w:shd w:fill="ffffff"/>
          </w:tcPr>
          <w:p>
            <w:pPr>
              <w:spacing w:after="80" w:before="80"/>
              <w:jc w:val="left"/>
            </w:pPr>
            <w:r>
              <w:rPr>
                <w:rFonts w:ascii="Calibri" w:hAnsi="Calibri"/>
                <w:color w:val="2C3E50"/>
                <w:sz w:val="20"/>
              </w:rPr>
              <w:t>Draft project budget with line items</w:t>
            </w:r>
          </w:p>
        </w:tc>
        <w:tc>
          <w:tcPr>
            <w:tcW w:type="dxa" w:w="3120"/>
            <w:shd w:fill="ffffff"/>
          </w:tcPr>
          <w:p>
            <w:pPr>
              <w:spacing w:after="80" w:before="80"/>
              <w:jc w:val="left"/>
            </w:pPr>
            <w:r>
              <w:rPr>
                <w:rFonts w:ascii="Calibri" w:hAnsi="Calibri"/>
                <w:color w:val="2C3E50"/>
                <w:sz w:val="20"/>
              </w:rPr>
              <w:t>Dec 13,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Complete application narrative</w:t>
            </w:r>
          </w:p>
        </w:tc>
        <w:tc>
          <w:tcPr>
            <w:tcW w:type="dxa" w:w="3120"/>
            <w:shd w:fill="f5f7fa"/>
          </w:tcPr>
          <w:p>
            <w:pPr>
              <w:spacing w:after="80" w:before="80"/>
              <w:jc w:val="left"/>
            </w:pPr>
            <w:r>
              <w:rPr>
                <w:rFonts w:ascii="Calibri" w:hAnsi="Calibri"/>
                <w:color w:val="2C3E50"/>
                <w:sz w:val="20"/>
              </w:rPr>
              <w:t>Dec 27, 2025</w:t>
            </w:r>
          </w:p>
        </w:tc>
        <w:tc>
          <w:tcPr>
            <w:tcW w:type="dxa" w:w="3120"/>
            <w:shd w:fill="f5f7fa"/>
          </w:tcPr>
          <w:p>
            <w:pPr>
              <w:spacing w:after="80" w:before="80"/>
              <w:jc w:val="left"/>
            </w:pPr>
            <w:r>
              <w:rPr>
                <w:rFonts w:ascii="Calibri" w:hAnsi="Calibri"/>
                <w:color w:val="2C3E50"/>
                <w:sz w:val="20"/>
              </w:rPr>
              <w:t>Grants Manager</w:t>
            </w:r>
          </w:p>
        </w:tc>
      </w:tr>
      <w:tr>
        <w:tc>
          <w:tcPr>
            <w:tcW w:type="dxa" w:w="3120"/>
            <w:shd w:fill="ffffff"/>
          </w:tcPr>
          <w:p>
            <w:pPr>
              <w:spacing w:after="80" w:before="80"/>
              <w:jc w:val="left"/>
            </w:pPr>
            <w:r>
              <w:rPr>
                <w:rFonts w:ascii="Calibri" w:hAnsi="Calibri"/>
                <w:color w:val="2C3E50"/>
                <w:sz w:val="20"/>
              </w:rPr>
              <w:t>Submit application by 4:00 PM HST</w:t>
            </w:r>
          </w:p>
        </w:tc>
        <w:tc>
          <w:tcPr>
            <w:tcW w:type="dxa" w:w="3120"/>
            <w:shd w:fill="ffffff"/>
          </w:tcPr>
          <w:p>
            <w:pPr>
              <w:spacing w:after="80" w:before="80"/>
              <w:jc w:val="left"/>
            </w:pPr>
            <w:r>
              <w:rPr>
                <w:rFonts w:ascii="Calibri" w:hAnsi="Calibri"/>
                <w:color w:val="2C3E50"/>
                <w:sz w:val="20"/>
              </w:rPr>
              <w:t>Jan 5, 2026</w:t>
            </w:r>
          </w:p>
        </w:tc>
        <w:tc>
          <w:tcPr>
            <w:tcW w:type="dxa" w:w="3120"/>
            <w:shd w:fill="ffffff"/>
          </w:tcPr>
          <w:p>
            <w:pPr>
              <w:spacing w:after="80" w:before="80"/>
              <w:jc w:val="left"/>
            </w:pPr>
            <w:r>
              <w:rPr>
                <w:rFonts w:ascii="Calibri" w:hAnsi="Calibri"/>
                <w:color w:val="2C3E50"/>
                <w:sz w:val="20"/>
              </w:rPr>
              <w:t>Grants Manager</w:t>
            </w:r>
          </w:p>
        </w:tc>
      </w:tr>
    </w:tbl>
    <w:p/>
    <w:p>
      <w:pPr>
        <w:spacing w:before="160" w:after="160"/>
        <w:pBdr>
          <w:bottom w:val="single" w:sz="8" w:color="d4a853"/>
        </w:pBdr>
      </w:pPr>
    </w:p>
    <w:p>
      <w:pPr>
        <w:pStyle w:val="TGSH1"/>
      </w:pPr>
      <w:r>
        <w:t>Opportunity #2: Bank of Hawaii Foundation</w:t>
      </w:r>
    </w:p>
    <w:p>
      <w:pPr>
        <w:pStyle w:val="TGSUrgent"/>
      </w:pPr>
      <w:r>
        <w:rPr>
          <w:b/>
          <w:color w:val="B8923D"/>
          <w:sz w:val="22"/>
        </w:rPr>
        <w:t>HIGH - Deadline: January 2026 (Contact to Confirm)</w:t>
      </w:r>
    </w:p>
    <w:p>
      <w:pPr>
        <w:pStyle w:val="TGSH2"/>
      </w:pPr>
      <w:r>
        <w:t>Why This Fits</w:t>
      </w:r>
    </w:p>
    <w:p>
      <w:pPr>
        <w:pStyle w:val="TGSBody"/>
      </w:pPr>
      <w:r>
        <w:rPr>
          <w:rFonts w:ascii="Calibri" w:hAnsi="Calibri"/>
          <w:color w:val="2C3E50"/>
          <w:sz w:val="22"/>
        </w:rPr>
        <w:t>Bank of Hawaii Foundation provides accessible entry-level funding for Hawaii nonprofits with a dedicated Major Capital grant category. With 98% of their giving staying in Hawaii and a 36% repeat funding rate (highest of the 5 opportunities), Bank of Hawaii values long-term relationships with local organizations. Their 2020 grants to YMCA of Honolulu ($30,000 for capital campaign) and St. Anthony School ($10,000 for multi-sport center) demonstrate support for athletics and youth facilities. This smaller award ($5,000-$50,000) can serve as match documentation for larger foundation and federal funding.</w:t>
      </w:r>
    </w:p>
    <w:p>
      <w:pPr>
        <w:pStyle w:val="TGSH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$5,000 - $50,000</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January 2026 (contact to confirm exact date)</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boh.com/philanthropy/grants (Access Code: BOHFMC)</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Foundation Office, (808) 694-4945</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TGSH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$5.0M across 186 grants (2020)</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$2,429 median (range: $10 - $3,000,000)</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98% Hawaii, 1% California</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color w:val="2C3E50"/>
                <w:sz w:val="20"/>
              </w:rPr>
              <w:t>36% of recipients funded 2+ times</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20% program-specific, 3% capital, 0% general operating</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Hawaii Community Foundation, Salvation Army, Institute for Human Services</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Stable ($5.0M in 2020)</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YMCA of Honolulu received $30,000 for "More Than a Promise" Capital Campaign (2020)</w:t>
            </w:r>
          </w:p>
        </w:tc>
      </w:tr>
    </w:tbl>
    <w:p/>
    <w:p>
      <w:pPr>
        <w:pStyle w:val="TGSH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None Identified</w:t>
            </w:r>
          </w:p>
        </w:tc>
        <w:tc>
          <w:tcPr>
            <w:tcW w:type="dxa" w:w="4680"/>
            <w:shd w:fill="ffffff"/>
          </w:tcPr>
          <w:p>
            <w:pPr>
              <w:spacing w:after="80" w:before="80"/>
              <w:jc w:val="left"/>
            </w:pPr>
            <w:r>
              <w:rPr>
                <w:rFonts w:ascii="Calibri" w:hAnsi="Calibri"/>
                <w:color w:val="2C3E50"/>
                <w:sz w:val="20"/>
              </w:rPr>
              <w:t>Check if Ka Ulukoa banks with Bank of Hawaii (relationship advantage)</w:t>
            </w:r>
          </w:p>
        </w:tc>
      </w:tr>
    </w:tbl>
    <w:p/>
    <w:p>
      <w:pPr>
        <w:pStyle w:val="TGSH2"/>
      </w:pPr>
      <w:r>
        <w:t>Application Requirements</w:t>
      </w:r>
    </w:p>
    <w:p>
      <w:pPr>
        <w:pStyle w:val="ListBullet"/>
      </w:pPr>
      <w:r>
        <w:rPr>
          <w:rFonts w:ascii="Calibri" w:hAnsi="Calibri"/>
          <w:color w:val="2C3E50"/>
          <w:sz w:val="22"/>
        </w:rPr>
        <w:t>IRS 501(c)(3) determination letter</w:t>
      </w:r>
    </w:p>
    <w:p>
      <w:pPr>
        <w:pStyle w:val="ListBullet"/>
      </w:pPr>
      <w:r>
        <w:rPr>
          <w:rFonts w:ascii="Calibri" w:hAnsi="Calibri"/>
          <w:color w:val="2C3E50"/>
          <w:sz w:val="22"/>
        </w:rPr>
        <w:t>Organizational budget</w:t>
      </w:r>
    </w:p>
    <w:p>
      <w:pPr>
        <w:pStyle w:val="ListBullet"/>
      </w:pPr>
      <w:r>
        <w:rPr>
          <w:rFonts w:ascii="Calibri" w:hAnsi="Calibri"/>
          <w:color w:val="2C3E50"/>
          <w:sz w:val="22"/>
        </w:rPr>
        <w:t>Project budget for capital request</w:t>
      </w:r>
    </w:p>
    <w:p>
      <w:pPr>
        <w:pStyle w:val="ListBullet"/>
      </w:pPr>
      <w:r>
        <w:rPr>
          <w:rFonts w:ascii="Calibri" w:hAnsi="Calibri"/>
          <w:color w:val="2C3E50"/>
          <w:sz w:val="22"/>
        </w:rPr>
        <w:t>Board of Directors list</w:t>
      </w:r>
    </w:p>
    <w:p>
      <w:pPr>
        <w:pStyle w:val="ListBullet"/>
      </w:pPr>
      <w:r>
        <w:rPr>
          <w:rFonts w:ascii="Calibri" w:hAnsi="Calibri"/>
          <w:color w:val="2C3E50"/>
          <w:sz w:val="22"/>
        </w:rPr>
        <w:t>Program description</w:t>
      </w:r>
    </w:p>
    <w:p>
      <w:pPr>
        <w:pStyle w:val="ListBullet"/>
      </w:pPr>
      <w:r>
        <w:rPr>
          <w:rFonts w:ascii="Calibri" w:hAnsi="Calibri"/>
          <w:color w:val="2C3E50"/>
          <w:sz w:val="22"/>
        </w:rPr>
        <w:t>Demographics of population served</w:t>
      </w:r>
    </w:p>
    <w:p>
      <w:pPr>
        <w:pStyle w:val="TGSH2"/>
      </w:pPr>
      <w:r>
        <w:t>Positioning Strategy</w:t>
      </w:r>
    </w:p>
    <w:p>
      <w:pPr>
        <w:pStyle w:val="TGSBody"/>
      </w:pPr>
      <w:r>
        <w:rPr>
          <w:rFonts w:ascii="Calibri" w:hAnsi="Calibri"/>
          <w:color w:val="2C3E50"/>
          <w:sz w:val="22"/>
        </w:rPr>
        <w:t>Bank of Hawaii's 36% repeat funding rate is the highest among the 5 opportunities - frame Ka Ulukoa as seeking a long-term funding partnership, not a one-time gift. Their $30,000 YMCA capital campaign grant and $10,000 St. Anthony multi-sport center grant demonstrate athletics facility support; request $25,000-$40,000 for a first grant. With 98% of giving staying in Hawaii, emphasize that Ka Ulukoa exclusively serves Hawaii youth with zero out-of-state programming. Highlight low/moderate income families served to align with their community access priorities.</w:t>
      </w:r>
    </w:p>
    <w:p>
      <w:pPr>
        <w:pStyle w:val="TGSH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Call (808) 694-4945 to confirm 2026 deadline</w:t>
            </w:r>
          </w:p>
        </w:tc>
        <w:tc>
          <w:tcPr>
            <w:tcW w:type="dxa" w:w="3120"/>
            <w:shd w:fill="ffffff"/>
          </w:tcPr>
          <w:p>
            <w:pPr>
              <w:spacing w:after="80" w:before="80"/>
              <w:jc w:val="left"/>
            </w:pPr>
            <w:r>
              <w:rPr>
                <w:rFonts w:ascii="Calibri" w:hAnsi="Calibri"/>
                <w:color w:val="2C3E50"/>
                <w:sz w:val="20"/>
              </w:rPr>
              <w:t>Dec 15,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Access application with code BOHFMC</w:t>
            </w:r>
          </w:p>
        </w:tc>
        <w:tc>
          <w:tcPr>
            <w:tcW w:type="dxa" w:w="3120"/>
            <w:shd w:fill="f5f7fa"/>
          </w:tcPr>
          <w:p>
            <w:pPr>
              <w:spacing w:after="80" w:before="80"/>
              <w:jc w:val="left"/>
            </w:pPr>
            <w:r>
              <w:rPr>
                <w:rFonts w:ascii="Calibri" w:hAnsi="Calibri"/>
                <w:color w:val="2C3E50"/>
                <w:sz w:val="20"/>
              </w:rPr>
              <w:t>Dec 20, 2025</w:t>
            </w:r>
          </w:p>
        </w:tc>
        <w:tc>
          <w:tcPr>
            <w:tcW w:type="dxa" w:w="3120"/>
            <w:shd w:fill="f5f7fa"/>
          </w:tcPr>
          <w:p>
            <w:pPr>
              <w:spacing w:after="80" w:before="80"/>
              <w:jc w:val="left"/>
            </w:pPr>
            <w:r>
              <w:rPr>
                <w:rFonts w:ascii="Calibri" w:hAnsi="Calibri"/>
                <w:color w:val="2C3E50"/>
                <w:sz w:val="20"/>
              </w:rPr>
              <w:t>Grants Manager</w:t>
            </w:r>
          </w:p>
        </w:tc>
      </w:tr>
      <w:tr>
        <w:tc>
          <w:tcPr>
            <w:tcW w:type="dxa" w:w="3120"/>
            <w:shd w:fill="ffffff"/>
          </w:tcPr>
          <w:p>
            <w:pPr>
              <w:spacing w:after="80" w:before="80"/>
              <w:jc w:val="left"/>
            </w:pPr>
            <w:r>
              <w:rPr>
                <w:rFonts w:ascii="Calibri" w:hAnsi="Calibri"/>
                <w:color w:val="2C3E50"/>
                <w:sz w:val="20"/>
              </w:rPr>
              <w:t>Complete application</w:t>
            </w:r>
          </w:p>
        </w:tc>
        <w:tc>
          <w:tcPr>
            <w:tcW w:type="dxa" w:w="3120"/>
            <w:shd w:fill="ffffff"/>
          </w:tcPr>
          <w:p>
            <w:pPr>
              <w:spacing w:after="80" w:before="80"/>
              <w:jc w:val="left"/>
            </w:pPr>
            <w:r>
              <w:rPr>
                <w:rFonts w:ascii="Calibri" w:hAnsi="Calibri"/>
                <w:color w:val="2C3E50"/>
                <w:sz w:val="20"/>
              </w:rPr>
              <w:t>Jan 10, 2026</w:t>
            </w:r>
          </w:p>
        </w:tc>
        <w:tc>
          <w:tcPr>
            <w:tcW w:type="dxa" w:w="3120"/>
            <w:shd w:fill="ffffff"/>
          </w:tcPr>
          <w:p>
            <w:pPr>
              <w:spacing w:after="80" w:before="80"/>
              <w:jc w:val="left"/>
            </w:pPr>
            <w:r>
              <w:rPr>
                <w:rFonts w:ascii="Calibri" w:hAnsi="Calibri"/>
                <w:color w:val="2C3E50"/>
                <w:sz w:val="20"/>
              </w:rPr>
              <w:t>Grants Manager</w:t>
            </w:r>
          </w:p>
        </w:tc>
      </w:tr>
      <w:tr>
        <w:tc>
          <w:tcPr>
            <w:tcW w:type="dxa" w:w="3120"/>
            <w:shd w:fill="f5f7fa"/>
          </w:tcPr>
          <w:p>
            <w:pPr>
              <w:spacing w:after="80" w:before="80"/>
              <w:jc w:val="left"/>
            </w:pPr>
            <w:r>
              <w:rPr>
                <w:rFonts w:ascii="Calibri" w:hAnsi="Calibri"/>
                <w:color w:val="2C3E50"/>
                <w:sz w:val="20"/>
              </w:rPr>
              <w:t>Submit before deadline</w:t>
            </w:r>
          </w:p>
        </w:tc>
        <w:tc>
          <w:tcPr>
            <w:tcW w:type="dxa" w:w="3120"/>
            <w:shd w:fill="f5f7fa"/>
          </w:tcPr>
          <w:p>
            <w:pPr>
              <w:spacing w:after="80" w:before="80"/>
              <w:jc w:val="left"/>
            </w:pPr>
            <w:r>
              <w:rPr>
                <w:rFonts w:ascii="Calibri" w:hAnsi="Calibri"/>
                <w:color w:val="2C3E50"/>
                <w:sz w:val="20"/>
              </w:rPr>
              <w:t>Jan 2026</w:t>
            </w:r>
          </w:p>
        </w:tc>
        <w:tc>
          <w:tcPr>
            <w:tcW w:type="dxa" w:w="3120"/>
            <w:shd w:fill="f5f7fa"/>
          </w:tcPr>
          <w:p>
            <w:pPr>
              <w:spacing w:after="80" w:before="80"/>
              <w:jc w:val="left"/>
            </w:pPr>
            <w:r>
              <w:rPr>
                <w:rFonts w:ascii="Calibri" w:hAnsi="Calibri"/>
                <w:color w:val="2C3E50"/>
                <w:sz w:val="20"/>
              </w:rPr>
              <w:t>Grants Manager</w:t>
            </w:r>
          </w:p>
        </w:tc>
      </w:tr>
    </w:tbl>
    <w:p/>
    <w:p>
      <w:pPr>
        <w:spacing w:before="160" w:after="160"/>
        <w:pBdr>
          <w:bottom w:val="single" w:sz="8" w:color="d4a853"/>
        </w:pBdr>
      </w:pPr>
    </w:p>
    <w:p>
      <w:pPr>
        <w:pStyle w:val="TGSH1"/>
      </w:pPr>
      <w:r>
        <w:t>Opportunity #3: Harry &amp; Jeanette Weinberg Foundation</w:t>
      </w:r>
    </w:p>
    <w:p>
      <w:pPr>
        <w:pStyle w:val="TGSUrgent"/>
      </w:pPr>
      <w:r>
        <w:rPr>
          <w:b/>
          <w:color w:val="B8923D"/>
          <w:sz w:val="22"/>
        </w:rPr>
        <w:t>HIGH - Deadline: Rolling LOI</w:t>
      </w:r>
    </w:p>
    <w:p>
      <w:pPr>
        <w:pStyle w:val="TGSH2"/>
      </w:pPr>
      <w:r>
        <w:t>Why This Fits</w:t>
      </w:r>
    </w:p>
    <w:p>
      <w:pPr>
        <w:pStyle w:val="TGSBody"/>
      </w:pPr>
      <w:r>
        <w:rPr>
          <w:rFonts w:ascii="Calibri" w:hAnsi="Calibri"/>
          <w:color w:val="2C3E50"/>
          <w:sz w:val="22"/>
        </w:rPr>
        <w:t>Weinberg Foundation commits $18 million annually to Hawaii organizations, making it one of the largest private funders in the state. With a median grant of $50,000 and maximum awards exceeding $1 million, Weinberg can provide transformational facility funding. Their 2020 grant of $1 million to Waianae Community Re-Development Corporation for land acquisition demonstrates willingness to fund major capital projects in Hawaii. The 24% repeat funding rate and relationship-based process suggest that an initial successful grant could lead to multi-year support.</w:t>
      </w:r>
    </w:p>
    <w:p>
      <w:pPr>
        <w:pStyle w:val="TGSH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$50,000 - $500,000+</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Rolling LOI submissions</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hjweinbergfoundation.org</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Via website submission portal</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TGSH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$125M across 893 grants nationally; $12.7M to Hawaii (68 grants, 2020)</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$50,000 median (range: $1,000 - $3,000,000+)</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8% Hawaii ($12.7M), 34% Maryland, 19% New York</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color w:val="2C3E50"/>
                <w:sz w:val="20"/>
              </w:rPr>
              <w:t>24% of recipients funded 2+ times</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29% program-specific, 23% general operating, 8% capital</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Goodwill Industries of Hawaii ($2M), Aloha United Way (7 grants), housing/health focus</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Stable ($125M in 2020)</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YMCA of Central Maryland received $500,000 for capital needs (2020)</w:t>
            </w:r>
          </w:p>
        </w:tc>
      </w:tr>
    </w:tbl>
    <w:p/>
    <w:p>
      <w:pPr>
        <w:pStyle w:val="TGSH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None Identified</w:t>
            </w:r>
          </w:p>
        </w:tc>
        <w:tc>
          <w:tcPr>
            <w:tcW w:type="dxa" w:w="4680"/>
            <w:shd w:fill="ffffff"/>
          </w:tcPr>
          <w:p>
            <w:pPr>
              <w:spacing w:after="80" w:before="80"/>
              <w:jc w:val="left"/>
            </w:pPr>
            <w:r>
              <w:rPr>
                <w:rFonts w:ascii="Calibri" w:hAnsi="Calibri"/>
                <w:color w:val="2C3E50"/>
                <w:sz w:val="20"/>
              </w:rPr>
              <w:t>Weinberg has funded Aloha United Way 7 times - explore if Ka Ulukoa has AUW relationship</w:t>
            </w:r>
          </w:p>
        </w:tc>
      </w:tr>
    </w:tbl>
    <w:p/>
    <w:p>
      <w:pPr>
        <w:pStyle w:val="TGSH2"/>
      </w:pPr>
      <w:r>
        <w:t>Application Requirements</w:t>
      </w:r>
    </w:p>
    <w:p>
      <w:pPr>
        <w:pStyle w:val="ListBullet"/>
      </w:pPr>
      <w:r>
        <w:rPr>
          <w:rFonts w:ascii="Calibri" w:hAnsi="Calibri"/>
          <w:color w:val="2C3E50"/>
          <w:sz w:val="22"/>
        </w:rPr>
        <w:t>Letter of Inquiry (1-2 pages)</w:t>
      </w:r>
    </w:p>
    <w:p>
      <w:pPr>
        <w:pStyle w:val="ListBullet"/>
      </w:pPr>
      <w:r>
        <w:rPr>
          <w:rFonts w:ascii="Calibri" w:hAnsi="Calibri"/>
          <w:color w:val="2C3E50"/>
          <w:sz w:val="22"/>
        </w:rPr>
        <w:t>Organization background summary</w:t>
      </w:r>
    </w:p>
    <w:p>
      <w:pPr>
        <w:pStyle w:val="ListBullet"/>
      </w:pPr>
      <w:r>
        <w:rPr>
          <w:rFonts w:ascii="Calibri" w:hAnsi="Calibri"/>
          <w:color w:val="2C3E50"/>
          <w:sz w:val="22"/>
        </w:rPr>
        <w:t>Project description with goals</w:t>
      </w:r>
    </w:p>
    <w:p>
      <w:pPr>
        <w:pStyle w:val="ListBullet"/>
      </w:pPr>
      <w:r>
        <w:rPr>
          <w:rFonts w:ascii="Calibri" w:hAnsi="Calibri"/>
          <w:color w:val="2C3E50"/>
          <w:sz w:val="22"/>
        </w:rPr>
        <w:t>Budget overview (high-level)</w:t>
      </w:r>
    </w:p>
    <w:p>
      <w:pPr>
        <w:pStyle w:val="ListBullet"/>
      </w:pPr>
      <w:r>
        <w:rPr>
          <w:rFonts w:ascii="Calibri" w:hAnsi="Calibri"/>
          <w:color w:val="2C3E50"/>
          <w:sz w:val="22"/>
        </w:rPr>
        <w:t>Population demographics served</w:t>
      </w:r>
    </w:p>
    <w:p>
      <w:pPr>
        <w:pStyle w:val="ListBullet"/>
      </w:pPr>
      <w:r>
        <w:rPr>
          <w:rFonts w:ascii="Calibri" w:hAnsi="Calibri"/>
          <w:color w:val="2C3E50"/>
          <w:sz w:val="22"/>
        </w:rPr>
        <w:t>Full proposal if invited (detailed budget, logic model, outcome metrics)</w:t>
      </w:r>
    </w:p>
    <w:p>
      <w:pPr>
        <w:pStyle w:val="TGSH2"/>
      </w:pPr>
      <w:r>
        <w:t>Positioning Strategy</w:t>
      </w:r>
    </w:p>
    <w:p>
      <w:pPr>
        <w:pStyle w:val="TGSBody"/>
      </w:pPr>
      <w:r>
        <w:rPr>
          <w:rFonts w:ascii="Calibri" w:hAnsi="Calibri"/>
          <w:color w:val="2C3E50"/>
          <w:sz w:val="22"/>
        </w:rPr>
        <w:t>Weinberg's Hawaii giving of $12.7M annually places them as the largest private funder for the state among the 5 opportunities. Their 29% program-specific and 8% capital giving style suggests leading with a defined facility project rather than general operating support. Reference their $500,000 YMCA capital grant and $1M Waianae land acquisition as precedent for major athletics/facility investments. Given the 24% repeat funding rate, frame the LOI as the beginning of a long-term relationship. Emphasize Native Hawaiian youth and low-income family service to align with their "basic human needs" priority area.</w:t>
      </w:r>
    </w:p>
    <w:p>
      <w:pPr>
        <w:pStyle w:val="TGSH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Review Weinberg Hawaii grants at hjweinbergfoundation.org/grants</w:t>
            </w:r>
          </w:p>
        </w:tc>
        <w:tc>
          <w:tcPr>
            <w:tcW w:type="dxa" w:w="3120"/>
            <w:shd w:fill="ffffff"/>
          </w:tcPr>
          <w:p>
            <w:pPr>
              <w:spacing w:after="80" w:before="80"/>
              <w:jc w:val="left"/>
            </w:pPr>
            <w:r>
              <w:rPr>
                <w:rFonts w:ascii="Calibri" w:hAnsi="Calibri"/>
                <w:color w:val="2C3E50"/>
                <w:sz w:val="20"/>
              </w:rPr>
              <w:t>Dec 6, 2025</w:t>
            </w:r>
          </w:p>
        </w:tc>
        <w:tc>
          <w:tcPr>
            <w:tcW w:type="dxa" w:w="3120"/>
            <w:shd w:fill="ffffff"/>
          </w:tcPr>
          <w:p>
            <w:pPr>
              <w:spacing w:after="80" w:before="80"/>
              <w:jc w:val="left"/>
            </w:pPr>
            <w:r>
              <w:rPr>
                <w:rFonts w:ascii="Calibri" w:hAnsi="Calibri"/>
                <w:color w:val="2C3E50"/>
                <w:sz w:val="20"/>
              </w:rPr>
              <w:t>Grants Manager</w:t>
            </w:r>
          </w:p>
        </w:tc>
      </w:tr>
      <w:tr>
        <w:tc>
          <w:tcPr>
            <w:tcW w:type="dxa" w:w="3120"/>
            <w:shd w:fill="f5f7fa"/>
          </w:tcPr>
          <w:p>
            <w:pPr>
              <w:spacing w:after="80" w:before="80"/>
              <w:jc w:val="left"/>
            </w:pPr>
            <w:r>
              <w:rPr>
                <w:rFonts w:ascii="Calibri" w:hAnsi="Calibri"/>
                <w:color w:val="2C3E50"/>
                <w:sz w:val="20"/>
              </w:rPr>
              <w:t>Draft 2-page Letter of Inquiry</w:t>
            </w:r>
          </w:p>
        </w:tc>
        <w:tc>
          <w:tcPr>
            <w:tcW w:type="dxa" w:w="3120"/>
            <w:shd w:fill="f5f7fa"/>
          </w:tcPr>
          <w:p>
            <w:pPr>
              <w:spacing w:after="80" w:before="80"/>
              <w:jc w:val="left"/>
            </w:pPr>
            <w:r>
              <w:rPr>
                <w:rFonts w:ascii="Calibri" w:hAnsi="Calibri"/>
                <w:color w:val="2C3E50"/>
                <w:sz w:val="20"/>
              </w:rPr>
              <w:t>Jan 15, 2026</w:t>
            </w:r>
          </w:p>
        </w:tc>
        <w:tc>
          <w:tcPr>
            <w:tcW w:type="dxa" w:w="3120"/>
            <w:shd w:fill="f5f7fa"/>
          </w:tcPr>
          <w:p>
            <w:pPr>
              <w:spacing w:after="80" w:before="80"/>
              <w:jc w:val="left"/>
            </w:pPr>
            <w:r>
              <w:rPr>
                <w:rFonts w:ascii="Calibri" w:hAnsi="Calibri"/>
                <w:color w:val="2C3E50"/>
                <w:sz w:val="20"/>
              </w:rPr>
              <w:t>Executive Director</w:t>
            </w:r>
          </w:p>
        </w:tc>
      </w:tr>
      <w:tr>
        <w:tc>
          <w:tcPr>
            <w:tcW w:type="dxa" w:w="3120"/>
            <w:shd w:fill="ffffff"/>
          </w:tcPr>
          <w:p>
            <w:pPr>
              <w:spacing w:after="80" w:before="80"/>
              <w:jc w:val="left"/>
            </w:pPr>
            <w:r>
              <w:rPr>
                <w:rFonts w:ascii="Calibri" w:hAnsi="Calibri"/>
                <w:color w:val="2C3E50"/>
                <w:sz w:val="20"/>
              </w:rPr>
              <w:t>Submit LOI via website portal</w:t>
            </w:r>
          </w:p>
        </w:tc>
        <w:tc>
          <w:tcPr>
            <w:tcW w:type="dxa" w:w="3120"/>
            <w:shd w:fill="ffffff"/>
          </w:tcPr>
          <w:p>
            <w:pPr>
              <w:spacing w:after="80" w:before="80"/>
              <w:jc w:val="left"/>
            </w:pPr>
            <w:r>
              <w:rPr>
                <w:rFonts w:ascii="Calibri" w:hAnsi="Calibri"/>
                <w:color w:val="2C3E50"/>
                <w:sz w:val="20"/>
              </w:rPr>
              <w:t>Jan 31, 2026</w:t>
            </w:r>
          </w:p>
        </w:tc>
        <w:tc>
          <w:tcPr>
            <w:tcW w:type="dxa" w:w="3120"/>
            <w:shd w:fill="ffffff"/>
          </w:tcPr>
          <w:p>
            <w:pPr>
              <w:spacing w:after="80" w:before="80"/>
              <w:jc w:val="left"/>
            </w:pPr>
            <w:r>
              <w:rPr>
                <w:rFonts w:ascii="Calibri" w:hAnsi="Calibri"/>
                <w:color w:val="2C3E50"/>
                <w:sz w:val="20"/>
              </w:rPr>
              <w:t>Grants Manager</w:t>
            </w:r>
          </w:p>
        </w:tc>
      </w:tr>
      <w:tr>
        <w:tc>
          <w:tcPr>
            <w:tcW w:type="dxa" w:w="3120"/>
            <w:shd w:fill="f5f7fa"/>
          </w:tcPr>
          <w:p>
            <w:pPr>
              <w:spacing w:after="80" w:before="80"/>
              <w:jc w:val="left"/>
            </w:pPr>
            <w:r>
              <w:rPr>
                <w:rFonts w:ascii="Calibri" w:hAnsi="Calibri"/>
                <w:color w:val="2C3E50"/>
                <w:sz w:val="20"/>
              </w:rPr>
              <w:t>Await response (4-8 weeks typical)</w:t>
            </w:r>
          </w:p>
        </w:tc>
        <w:tc>
          <w:tcPr>
            <w:tcW w:type="dxa" w:w="3120"/>
            <w:shd w:fill="f5f7fa"/>
          </w:tcPr>
          <w:p>
            <w:pPr>
              <w:spacing w:after="80" w:before="80"/>
              <w:jc w:val="left"/>
            </w:pPr>
            <w:r>
              <w:rPr>
                <w:rFonts w:ascii="Calibri" w:hAnsi="Calibri"/>
                <w:color w:val="2C3E50"/>
                <w:sz w:val="20"/>
              </w:rPr>
              <w:t>March 2026</w:t>
            </w:r>
          </w:p>
        </w:tc>
        <w:tc>
          <w:tcPr>
            <w:tcW w:type="dxa" w:w="3120"/>
            <w:shd w:fill="f5f7fa"/>
          </w:tcPr>
          <w:p>
            <w:pPr>
              <w:spacing w:after="80" w:before="80"/>
              <w:jc w:val="left"/>
            </w:pPr>
            <w:r>
              <w:rPr>
                <w:rFonts w:ascii="Calibri" w:hAnsi="Calibri"/>
                <w:color w:val="2C3E50"/>
                <w:sz w:val="20"/>
              </w:rPr>
              <w:t>—</w:t>
            </w:r>
          </w:p>
        </w:tc>
      </w:tr>
    </w:tbl>
    <w:p/>
    <w:p>
      <w:pPr>
        <w:spacing w:before="160" w:after="160"/>
        <w:pBdr>
          <w:bottom w:val="single" w:sz="8" w:color="d4a853"/>
        </w:pBdr>
      </w:pPr>
    </w:p>
    <w:p>
      <w:pPr>
        <w:pStyle w:val="TGSH1"/>
      </w:pPr>
      <w:r>
        <w:t>Opportunity #4: Hawaii Community Foundation</w:t>
      </w:r>
    </w:p>
    <w:p>
      <w:pPr>
        <w:pStyle w:val="TGSUrgent"/>
      </w:pPr>
      <w:r>
        <w:rPr>
          <w:b/>
          <w:color w:val="6C757D"/>
          <w:sz w:val="22"/>
        </w:rPr>
        <w:t>MEDIUM - Deadline: April 2026</w:t>
      </w:r>
    </w:p>
    <w:p>
      <w:pPr>
        <w:pStyle w:val="TGSH2"/>
      </w:pPr>
      <w:r>
        <w:t>Why This Fits</w:t>
      </w:r>
    </w:p>
    <w:p>
      <w:pPr>
        <w:pStyle w:val="TGSBody"/>
      </w:pPr>
      <w:r>
        <w:rPr>
          <w:rFonts w:ascii="Calibri" w:hAnsi="Calibri"/>
          <w:color w:val="2C3E50"/>
          <w:sz w:val="22"/>
        </w:rPr>
        <w:t>Hawaii Community Foundation serves as both a direct funding source and the gateway to Atherton Family Foundation funding (same portal). With multiple grant programs and cycles throughout the year, HCF provides ongoing opportunities for Ka Ulukoa. Registering for Atherton also establishes Ka Ulukoa's HCF profile, enabling future applications to additional HCF funds. The foundation's multi-fund structure means Ka Ulukoa can potentially access several funding streams through a single portal relationship.</w:t>
      </w:r>
    </w:p>
    <w:p>
      <w:pPr>
        <w:pStyle w:val="TGSH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$25,000 - $100,000 (varies by fund)</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Multiple cycles: January, April, October 2026</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hawaiicf.smartsimple.com</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Via portal; general info at hawaiicommunityfoundation.org</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TGSH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Community foundation - manages 800+ charitable funds</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Varies by fund ($5,000 - $100,000)</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100% Hawaii focus</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b/>
                <w:color w:val="B8923D"/>
                <w:sz w:val="20"/>
              </w:rPr>
              <w:t>High - designed for ongoing nonprofit support</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Multiple funds with varying priorities (education, environment, arts, health)</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Hawaii 501(c)(3) organizations across all sectors</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Growing - assets exceed $900M</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Review open applications at hawaiicommunityfoundation.org/grants/open-applications</w:t>
            </w:r>
          </w:p>
        </w:tc>
      </w:tr>
    </w:tbl>
    <w:p/>
    <w:p>
      <w:pPr>
        <w:pStyle w:val="TGSH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Portal Overlap</w:t>
            </w:r>
          </w:p>
        </w:tc>
        <w:tc>
          <w:tcPr>
            <w:tcW w:type="dxa" w:w="4680"/>
            <w:shd w:fill="ffffff"/>
          </w:tcPr>
          <w:p>
            <w:pPr>
              <w:spacing w:after="80" w:before="80"/>
              <w:jc w:val="left"/>
            </w:pPr>
            <w:r>
              <w:rPr>
                <w:rFonts w:ascii="Calibri" w:hAnsi="Calibri"/>
                <w:color w:val="2C3E50"/>
                <w:sz w:val="20"/>
              </w:rPr>
              <w:t>Same portal as Atherton - single registration serves both</w:t>
            </w:r>
          </w:p>
        </w:tc>
      </w:tr>
    </w:tbl>
    <w:p/>
    <w:p>
      <w:pPr>
        <w:pStyle w:val="TGSH2"/>
      </w:pPr>
      <w:r>
        <w:t>Application Requirements</w:t>
      </w:r>
    </w:p>
    <w:p>
      <w:pPr>
        <w:pStyle w:val="ListBullet"/>
      </w:pPr>
      <w:r>
        <w:rPr>
          <w:rFonts w:ascii="Calibri" w:hAnsi="Calibri"/>
          <w:color w:val="2C3E50"/>
          <w:sz w:val="22"/>
        </w:rPr>
        <w:t>IRS 501(c)(3) determination letter</w:t>
      </w:r>
    </w:p>
    <w:p>
      <w:pPr>
        <w:pStyle w:val="ListBullet"/>
      </w:pPr>
      <w:r>
        <w:rPr>
          <w:rFonts w:ascii="Calibri" w:hAnsi="Calibri"/>
          <w:color w:val="2C3E50"/>
          <w:sz w:val="22"/>
        </w:rPr>
        <w:t>Financial statements (2 years)</w:t>
      </w:r>
    </w:p>
    <w:p>
      <w:pPr>
        <w:pStyle w:val="ListBullet"/>
      </w:pPr>
      <w:r>
        <w:rPr>
          <w:rFonts w:ascii="Calibri" w:hAnsi="Calibri"/>
          <w:color w:val="2C3E50"/>
          <w:sz w:val="22"/>
        </w:rPr>
        <w:t>Board of Directors list</w:t>
      </w:r>
    </w:p>
    <w:p>
      <w:pPr>
        <w:pStyle w:val="ListBullet"/>
      </w:pPr>
      <w:r>
        <w:rPr>
          <w:rFonts w:ascii="Calibri" w:hAnsi="Calibri"/>
          <w:color w:val="2C3E50"/>
          <w:sz w:val="22"/>
        </w:rPr>
        <w:t>Organizational budget</w:t>
      </w:r>
    </w:p>
    <w:p>
      <w:pPr>
        <w:pStyle w:val="ListBullet"/>
      </w:pPr>
      <w:r>
        <w:rPr>
          <w:rFonts w:ascii="Calibri" w:hAnsi="Calibri"/>
          <w:color w:val="2C3E50"/>
          <w:sz w:val="22"/>
        </w:rPr>
        <w:t>Project budget</w:t>
      </w:r>
    </w:p>
    <w:p>
      <w:pPr>
        <w:pStyle w:val="ListBullet"/>
      </w:pPr>
      <w:r>
        <w:rPr>
          <w:rFonts w:ascii="Calibri" w:hAnsi="Calibri"/>
          <w:color w:val="2C3E50"/>
          <w:sz w:val="22"/>
        </w:rPr>
        <w:t>Project timeline</w:t>
      </w:r>
    </w:p>
    <w:p>
      <w:pPr>
        <w:pStyle w:val="ListBullet"/>
      </w:pPr>
      <w:r>
        <w:rPr>
          <w:rFonts w:ascii="Calibri" w:hAnsi="Calibri"/>
          <w:color w:val="2C3E50"/>
          <w:sz w:val="22"/>
        </w:rPr>
        <w:t>Impact metrics documentation</w:t>
      </w:r>
    </w:p>
    <w:p>
      <w:pPr>
        <w:pStyle w:val="TGSH2"/>
      </w:pPr>
      <w:r>
        <w:t>Positioning Strategy</w:t>
      </w:r>
    </w:p>
    <w:p>
      <w:pPr>
        <w:pStyle w:val="TGSBody"/>
      </w:pPr>
      <w:r>
        <w:rPr>
          <w:rFonts w:ascii="Calibri" w:hAnsi="Calibri"/>
          <w:color w:val="2C3E50"/>
          <w:sz w:val="22"/>
        </w:rPr>
        <w:t>HCF's portal overlap with Atherton means a single registration effort enables access to both funders. Complete Atherton application first (January 5 deadline), then leverage the established profile for April 2026 HCF applications. Review open applications monthly at hawaiicommunityfoundation.org/grants/open-applications to identify fund-specific opportunities matching athletics and youth development. HCF's 100% Hawaii focus and community foundation structure suggest emphasizing broad community benefit and Native Hawaiian cultural programming.</w:t>
      </w:r>
    </w:p>
    <w:p>
      <w:pPr>
        <w:pStyle w:val="TGSH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Complete portal registration (done for Atherton)</w:t>
            </w:r>
          </w:p>
        </w:tc>
        <w:tc>
          <w:tcPr>
            <w:tcW w:type="dxa" w:w="3120"/>
            <w:shd w:fill="ffffff"/>
          </w:tcPr>
          <w:p>
            <w:pPr>
              <w:spacing w:after="80" w:before="80"/>
              <w:jc w:val="left"/>
            </w:pPr>
            <w:r>
              <w:rPr>
                <w:rFonts w:ascii="Calibri" w:hAnsi="Calibri"/>
                <w:color w:val="2C3E50"/>
                <w:sz w:val="20"/>
              </w:rPr>
              <w:t>Nov 29,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Review open applications for relevant funds</w:t>
            </w:r>
          </w:p>
        </w:tc>
        <w:tc>
          <w:tcPr>
            <w:tcW w:type="dxa" w:w="3120"/>
            <w:shd w:fill="f5f7fa"/>
          </w:tcPr>
          <w:p>
            <w:pPr>
              <w:spacing w:after="80" w:before="80"/>
              <w:jc w:val="left"/>
            </w:pPr>
            <w:r>
              <w:rPr>
                <w:rFonts w:ascii="Calibri" w:hAnsi="Calibri"/>
                <w:color w:val="2C3E50"/>
                <w:sz w:val="20"/>
              </w:rPr>
              <w:t>Feb 1, 2026</w:t>
            </w:r>
          </w:p>
        </w:tc>
        <w:tc>
          <w:tcPr>
            <w:tcW w:type="dxa" w:w="3120"/>
            <w:shd w:fill="f5f7fa"/>
          </w:tcPr>
          <w:p>
            <w:pPr>
              <w:spacing w:after="80" w:before="80"/>
              <w:jc w:val="left"/>
            </w:pPr>
            <w:r>
              <w:rPr>
                <w:rFonts w:ascii="Calibri" w:hAnsi="Calibri"/>
                <w:color w:val="2C3E50"/>
                <w:sz w:val="20"/>
              </w:rPr>
              <w:t>Grants Manager</w:t>
            </w:r>
          </w:p>
        </w:tc>
      </w:tr>
      <w:tr>
        <w:tc>
          <w:tcPr>
            <w:tcW w:type="dxa" w:w="3120"/>
            <w:shd w:fill="ffffff"/>
          </w:tcPr>
          <w:p>
            <w:pPr>
              <w:spacing w:after="80" w:before="80"/>
              <w:jc w:val="left"/>
            </w:pPr>
            <w:r>
              <w:rPr>
                <w:rFonts w:ascii="Calibri" w:hAnsi="Calibri"/>
                <w:color w:val="2C3E50"/>
                <w:sz w:val="20"/>
              </w:rPr>
              <w:t>Identify target fund(s) for April cycle</w:t>
            </w:r>
          </w:p>
        </w:tc>
        <w:tc>
          <w:tcPr>
            <w:tcW w:type="dxa" w:w="3120"/>
            <w:shd w:fill="ffffff"/>
          </w:tcPr>
          <w:p>
            <w:pPr>
              <w:spacing w:after="80" w:before="80"/>
              <w:jc w:val="left"/>
            </w:pPr>
            <w:r>
              <w:rPr>
                <w:rFonts w:ascii="Calibri" w:hAnsi="Calibri"/>
                <w:color w:val="2C3E50"/>
                <w:sz w:val="20"/>
              </w:rPr>
              <w:t>Feb 15, 2026</w:t>
            </w:r>
          </w:p>
        </w:tc>
        <w:tc>
          <w:tcPr>
            <w:tcW w:type="dxa" w:w="3120"/>
            <w:shd w:fill="ffffff"/>
          </w:tcPr>
          <w:p>
            <w:pPr>
              <w:spacing w:after="80" w:before="80"/>
              <w:jc w:val="left"/>
            </w:pPr>
            <w:r>
              <w:rPr>
                <w:rFonts w:ascii="Calibri" w:hAnsi="Calibri"/>
                <w:color w:val="2C3E50"/>
                <w:sz w:val="20"/>
              </w:rPr>
              <w:t>Grants Manager</w:t>
            </w:r>
          </w:p>
        </w:tc>
      </w:tr>
      <w:tr>
        <w:tc>
          <w:tcPr>
            <w:tcW w:type="dxa" w:w="3120"/>
            <w:shd w:fill="f5f7fa"/>
          </w:tcPr>
          <w:p>
            <w:pPr>
              <w:spacing w:after="80" w:before="80"/>
              <w:jc w:val="left"/>
            </w:pPr>
            <w:r>
              <w:rPr>
                <w:rFonts w:ascii="Calibri" w:hAnsi="Calibri"/>
                <w:color w:val="2C3E50"/>
                <w:sz w:val="20"/>
              </w:rPr>
              <w:t>Submit HCF application</w:t>
            </w:r>
          </w:p>
        </w:tc>
        <w:tc>
          <w:tcPr>
            <w:tcW w:type="dxa" w:w="3120"/>
            <w:shd w:fill="f5f7fa"/>
          </w:tcPr>
          <w:p>
            <w:pPr>
              <w:spacing w:after="80" w:before="80"/>
              <w:jc w:val="left"/>
            </w:pPr>
            <w:r>
              <w:rPr>
                <w:rFonts w:ascii="Calibri" w:hAnsi="Calibri"/>
                <w:color w:val="2C3E50"/>
                <w:sz w:val="20"/>
              </w:rPr>
              <w:t>April 2026</w:t>
            </w:r>
          </w:p>
        </w:tc>
        <w:tc>
          <w:tcPr>
            <w:tcW w:type="dxa" w:w="3120"/>
            <w:shd w:fill="f5f7fa"/>
          </w:tcPr>
          <w:p>
            <w:pPr>
              <w:spacing w:after="80" w:before="80"/>
              <w:jc w:val="left"/>
            </w:pPr>
            <w:r>
              <w:rPr>
                <w:rFonts w:ascii="Calibri" w:hAnsi="Calibri"/>
                <w:color w:val="2C3E50"/>
                <w:sz w:val="20"/>
              </w:rPr>
              <w:t>Grants Manager</w:t>
            </w:r>
          </w:p>
        </w:tc>
      </w:tr>
    </w:tbl>
    <w:p/>
    <w:p>
      <w:pPr>
        <w:spacing w:before="160" w:after="160"/>
        <w:pBdr>
          <w:bottom w:val="single" w:sz="8" w:color="d4a853"/>
        </w:pBdr>
      </w:pPr>
    </w:p>
    <w:p>
      <w:pPr>
        <w:pStyle w:val="TGSH1"/>
      </w:pPr>
      <w:r>
        <w:t>Opportunity #5: Land &amp; Water Conservation Fund (LWCF)</w:t>
      </w:r>
    </w:p>
    <w:p>
      <w:pPr>
        <w:pStyle w:val="TGSUrgent"/>
      </w:pPr>
      <w:r>
        <w:rPr>
          <w:b/>
          <w:color w:val="6C757D"/>
          <w:sz w:val="22"/>
        </w:rPr>
        <w:t>MEDIUM - Deadline: Contact DLNR for Current Cycle</w:t>
      </w:r>
    </w:p>
    <w:p>
      <w:pPr>
        <w:pStyle w:val="TGSH2"/>
      </w:pPr>
      <w:r>
        <w:t>Why This Fits</w:t>
      </w:r>
    </w:p>
    <w:p>
      <w:pPr>
        <w:pStyle w:val="TGSBody"/>
      </w:pPr>
      <w:r>
        <w:rPr>
          <w:rFonts w:ascii="Calibri" w:hAnsi="Calibri"/>
          <w:color w:val="2C3E50"/>
          <w:sz w:val="22"/>
        </w:rPr>
        <w:t>LWCF provides federal funding through state parks departments for outdoor recreation facilities. With 50% match requirements, Ka Ulukoa can leverage foundation awards (Atherton, Bank of Hawaii, Weinberg) to potentially double total funding secured. The Kalawai Park courts project demonstrates that athletic facilities qualify for LWCF funding in Hawaii. This layered funding strategy positions foundation grants as the seed capital that unlocks federal matching funds.</w:t>
      </w:r>
    </w:p>
    <w:p>
      <w:pPr>
        <w:pStyle w:val="TGSH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$50,000 - $500,000+ (50% match required)</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Contact DLNR for current cycle timing</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dlnr.hawaii.gov/ecosystems/llcp/</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DLNR Division of State Parks, (808) 587-0300, dlnr.dsp@hawaii.gov</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TGSH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Federal program - varies by state allocation</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$50,000 - $500,000 (must provide 50% match)</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Hawaii projects through DLNR</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color w:val="2C3E50"/>
                <w:sz w:val="20"/>
              </w:rPr>
              <w:t>N/A - project-based federal program</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100% capital - outdoor recreation facilities only</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Local governments, nonprofits with public access commitment</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Stable federal program since 1965</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Kalawai Park courts (athletic facility precedent in Hawaii)</w:t>
            </w:r>
          </w:p>
        </w:tc>
      </w:tr>
    </w:tbl>
    <w:p/>
    <w:p>
      <w:pPr>
        <w:pStyle w:val="TGSH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Match Leverage</w:t>
            </w:r>
          </w:p>
        </w:tc>
        <w:tc>
          <w:tcPr>
            <w:tcW w:type="dxa" w:w="4680"/>
            <w:shd w:fill="ffffff"/>
          </w:tcPr>
          <w:p>
            <w:pPr>
              <w:spacing w:after="80" w:before="80"/>
              <w:jc w:val="left"/>
            </w:pPr>
            <w:r>
              <w:rPr>
                <w:rFonts w:ascii="Calibri" w:hAnsi="Calibri"/>
                <w:color w:val="2C3E50"/>
                <w:sz w:val="20"/>
              </w:rPr>
              <w:t>Foundation grants from Opportunities #1-3 can serve as 50% match</w:t>
            </w:r>
          </w:p>
        </w:tc>
      </w:tr>
    </w:tbl>
    <w:p/>
    <w:p>
      <w:pPr>
        <w:pStyle w:val="TGSH2"/>
      </w:pPr>
      <w:r>
        <w:t>Application Requirements</w:t>
      </w:r>
    </w:p>
    <w:p>
      <w:pPr>
        <w:pStyle w:val="ListBullet"/>
      </w:pPr>
      <w:r>
        <w:rPr>
          <w:rFonts w:ascii="Calibri" w:hAnsi="Calibri"/>
          <w:color w:val="2C3E50"/>
          <w:sz w:val="22"/>
        </w:rPr>
        <w:t>Preliminary Architectural Feasibility Report (contract with architect)</w:t>
      </w:r>
    </w:p>
    <w:p>
      <w:pPr>
        <w:pStyle w:val="ListBullet"/>
      </w:pPr>
      <w:r>
        <w:rPr>
          <w:rFonts w:ascii="Calibri" w:hAnsi="Calibri"/>
          <w:color w:val="2C3E50"/>
          <w:sz w:val="22"/>
        </w:rPr>
        <w:t>Detailed cost estimates from contractors</w:t>
      </w:r>
    </w:p>
    <w:p>
      <w:pPr>
        <w:pStyle w:val="ListBullet"/>
      </w:pPr>
      <w:r>
        <w:rPr>
          <w:rFonts w:ascii="Calibri" w:hAnsi="Calibri"/>
          <w:color w:val="2C3E50"/>
          <w:sz w:val="22"/>
        </w:rPr>
        <w:t>Match commitment letters (from foundation awards)</w:t>
      </w:r>
    </w:p>
    <w:p>
      <w:pPr>
        <w:pStyle w:val="ListBullet"/>
      </w:pPr>
      <w:r>
        <w:rPr>
          <w:rFonts w:ascii="Calibri" w:hAnsi="Calibri"/>
          <w:color w:val="2C3E50"/>
          <w:sz w:val="22"/>
        </w:rPr>
        <w:t>Public access plan and guarantee (LWCF requires public access)</w:t>
      </w:r>
    </w:p>
    <w:p>
      <w:pPr>
        <w:pStyle w:val="ListBullet"/>
      </w:pPr>
      <w:r>
        <w:rPr>
          <w:rFonts w:ascii="Calibri" w:hAnsi="Calibri"/>
          <w:color w:val="2C3E50"/>
          <w:sz w:val="22"/>
        </w:rPr>
        <w:t>Environmental assessment or review</w:t>
      </w:r>
    </w:p>
    <w:p>
      <w:pPr>
        <w:pStyle w:val="ListBullet"/>
      </w:pPr>
      <w:r>
        <w:rPr>
          <w:rFonts w:ascii="Calibri" w:hAnsi="Calibri"/>
          <w:color w:val="2C3E50"/>
          <w:sz w:val="22"/>
        </w:rPr>
        <w:t>Site control documentation (ownership or lease)</w:t>
      </w:r>
    </w:p>
    <w:p>
      <w:pPr>
        <w:pStyle w:val="TGSH2"/>
      </w:pPr>
      <w:r>
        <w:t>Positioning Strategy</w:t>
      </w:r>
    </w:p>
    <w:p>
      <w:pPr>
        <w:pStyle w:val="TGSBody"/>
      </w:pPr>
      <w:r>
        <w:rPr>
          <w:rFonts w:ascii="Calibri" w:hAnsi="Calibri"/>
          <w:color w:val="2C3E50"/>
          <w:sz w:val="22"/>
        </w:rPr>
        <w:t>LWCF's 50% match requirement creates a multiplier effect: every $100,000 in foundation funding unlocks an additional $100,000 in federal funds. Position Ka Ulukoa's application timing to follow Atherton and Weinberg decisions (Spring 2026), using award letters as match documentation. The public access requirement aligns with Ka Ulukoa's community programming - emphasize that facility will serve youth beyond Ka Ulukoa participants. Reference Kalawai Park courts as precedent for athletics facilities qualifying under LWCF.</w:t>
      </w:r>
    </w:p>
    <w:p>
      <w:pPr>
        <w:pStyle w:val="TGSH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Call DLNR at (808) 587-0300 for current cycle info</w:t>
            </w:r>
          </w:p>
        </w:tc>
        <w:tc>
          <w:tcPr>
            <w:tcW w:type="dxa" w:w="3120"/>
            <w:shd w:fill="ffffff"/>
          </w:tcPr>
          <w:p>
            <w:pPr>
              <w:spacing w:after="80" w:before="80"/>
              <w:jc w:val="left"/>
            </w:pPr>
            <w:r>
              <w:rPr>
                <w:rFonts w:ascii="Calibri" w:hAnsi="Calibri"/>
                <w:color w:val="2C3E50"/>
                <w:sz w:val="20"/>
              </w:rPr>
              <w:t>Dec 15,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Request LWCF application guidelines</w:t>
            </w:r>
          </w:p>
        </w:tc>
        <w:tc>
          <w:tcPr>
            <w:tcW w:type="dxa" w:w="3120"/>
            <w:shd w:fill="f5f7fa"/>
          </w:tcPr>
          <w:p>
            <w:pPr>
              <w:spacing w:after="80" w:before="80"/>
              <w:jc w:val="left"/>
            </w:pPr>
            <w:r>
              <w:rPr>
                <w:rFonts w:ascii="Calibri" w:hAnsi="Calibri"/>
                <w:color w:val="2C3E50"/>
                <w:sz w:val="20"/>
              </w:rPr>
              <w:t>Dec 20, 2025</w:t>
            </w:r>
          </w:p>
        </w:tc>
        <w:tc>
          <w:tcPr>
            <w:tcW w:type="dxa" w:w="3120"/>
            <w:shd w:fill="f5f7fa"/>
          </w:tcPr>
          <w:p>
            <w:pPr>
              <w:spacing w:after="80" w:before="80"/>
              <w:jc w:val="left"/>
            </w:pPr>
            <w:r>
              <w:rPr>
                <w:rFonts w:ascii="Calibri" w:hAnsi="Calibri"/>
                <w:color w:val="2C3E50"/>
                <w:sz w:val="20"/>
              </w:rPr>
              <w:t>Grants Manager</w:t>
            </w:r>
          </w:p>
        </w:tc>
      </w:tr>
      <w:tr>
        <w:tc>
          <w:tcPr>
            <w:tcW w:type="dxa" w:w="3120"/>
            <w:shd w:fill="ffffff"/>
          </w:tcPr>
          <w:p>
            <w:pPr>
              <w:spacing w:after="80" w:before="80"/>
              <w:jc w:val="left"/>
            </w:pPr>
            <w:r>
              <w:rPr>
                <w:rFonts w:ascii="Calibri" w:hAnsi="Calibri"/>
                <w:color w:val="2C3E50"/>
                <w:sz w:val="20"/>
              </w:rPr>
              <w:t>Secure foundation awards (Atherton, Bank of Hawaii)</w:t>
            </w:r>
          </w:p>
        </w:tc>
        <w:tc>
          <w:tcPr>
            <w:tcW w:type="dxa" w:w="3120"/>
            <w:shd w:fill="ffffff"/>
          </w:tcPr>
          <w:p>
            <w:pPr>
              <w:spacing w:after="80" w:before="80"/>
              <w:jc w:val="left"/>
            </w:pPr>
            <w:r>
              <w:rPr>
                <w:rFonts w:ascii="Calibri" w:hAnsi="Calibri"/>
                <w:color w:val="2C3E50"/>
                <w:sz w:val="20"/>
              </w:rPr>
              <w:t>Q1 2026</w:t>
            </w:r>
          </w:p>
        </w:tc>
        <w:tc>
          <w:tcPr>
            <w:tcW w:type="dxa" w:w="3120"/>
            <w:shd w:fill="ffffff"/>
          </w:tcPr>
          <w:p>
            <w:pPr>
              <w:spacing w:after="80" w:before="80"/>
              <w:jc w:val="left"/>
            </w:pPr>
            <w:r>
              <w:rPr>
                <w:rFonts w:ascii="Calibri" w:hAnsi="Calibri"/>
                <w:color w:val="2C3E50"/>
                <w:sz w:val="20"/>
              </w:rPr>
              <w:t>—</w:t>
            </w:r>
          </w:p>
        </w:tc>
      </w:tr>
      <w:tr>
        <w:tc>
          <w:tcPr>
            <w:tcW w:type="dxa" w:w="3120"/>
            <w:shd w:fill="f5f7fa"/>
          </w:tcPr>
          <w:p>
            <w:pPr>
              <w:spacing w:after="80" w:before="80"/>
              <w:jc w:val="left"/>
            </w:pPr>
            <w:r>
              <w:rPr>
                <w:rFonts w:ascii="Calibri" w:hAnsi="Calibri"/>
                <w:color w:val="2C3E50"/>
                <w:sz w:val="20"/>
              </w:rPr>
              <w:t>Commission architectural feasibility report</w:t>
            </w:r>
          </w:p>
        </w:tc>
        <w:tc>
          <w:tcPr>
            <w:tcW w:type="dxa" w:w="3120"/>
            <w:shd w:fill="f5f7fa"/>
          </w:tcPr>
          <w:p>
            <w:pPr>
              <w:spacing w:after="80" w:before="80"/>
              <w:jc w:val="left"/>
            </w:pPr>
            <w:r>
              <w:rPr>
                <w:rFonts w:ascii="Calibri" w:hAnsi="Calibri"/>
                <w:color w:val="2C3E50"/>
                <w:sz w:val="20"/>
              </w:rPr>
              <w:t>Q2 2026</w:t>
            </w:r>
          </w:p>
        </w:tc>
        <w:tc>
          <w:tcPr>
            <w:tcW w:type="dxa" w:w="3120"/>
            <w:shd w:fill="f5f7fa"/>
          </w:tcPr>
          <w:p>
            <w:pPr>
              <w:spacing w:after="80" w:before="80"/>
              <w:jc w:val="left"/>
            </w:pPr>
            <w:r>
              <w:rPr>
                <w:rFonts w:ascii="Calibri" w:hAnsi="Calibri"/>
                <w:color w:val="2C3E50"/>
                <w:sz w:val="20"/>
              </w:rPr>
              <w:t>Executive Director</w:t>
            </w:r>
          </w:p>
        </w:tc>
      </w:tr>
      <w:tr>
        <w:tc>
          <w:tcPr>
            <w:tcW w:type="dxa" w:w="3120"/>
            <w:shd w:fill="ffffff"/>
          </w:tcPr>
          <w:p>
            <w:pPr>
              <w:spacing w:after="80" w:before="80"/>
              <w:jc w:val="left"/>
            </w:pPr>
            <w:r>
              <w:rPr>
                <w:rFonts w:ascii="Calibri" w:hAnsi="Calibri"/>
                <w:color w:val="2C3E50"/>
                <w:sz w:val="20"/>
              </w:rPr>
              <w:t>Submit LWCF application with match documentation</w:t>
            </w:r>
          </w:p>
        </w:tc>
        <w:tc>
          <w:tcPr>
            <w:tcW w:type="dxa" w:w="3120"/>
            <w:shd w:fill="ffffff"/>
          </w:tcPr>
          <w:p>
            <w:pPr>
              <w:spacing w:after="80" w:before="80"/>
              <w:jc w:val="left"/>
            </w:pPr>
            <w:r>
              <w:rPr>
                <w:rFonts w:ascii="Calibri" w:hAnsi="Calibri"/>
                <w:color w:val="2C3E50"/>
                <w:sz w:val="20"/>
              </w:rPr>
              <w:t>Q2-Q3 2026</w:t>
            </w:r>
          </w:p>
        </w:tc>
        <w:tc>
          <w:tcPr>
            <w:tcW w:type="dxa" w:w="3120"/>
            <w:shd w:fill="ffffff"/>
          </w:tcPr>
          <w:p>
            <w:pPr>
              <w:spacing w:after="80" w:before="80"/>
              <w:jc w:val="left"/>
            </w:pPr>
            <w:r>
              <w:rPr>
                <w:rFonts w:ascii="Calibri" w:hAnsi="Calibri"/>
                <w:color w:val="2C3E50"/>
                <w:sz w:val="20"/>
              </w:rPr>
              <w:t>Grants Manager</w:t>
            </w:r>
          </w:p>
        </w:tc>
      </w:tr>
    </w:tbl>
    <w:p/>
    <w:p>
      <w:pPr>
        <w:spacing w:before="160" w:after="160"/>
        <w:pBdr>
          <w:bottom w:val="single" w:sz="8" w:color="d4a853"/>
        </w:pBdr>
      </w:pPr>
    </w:p>
    <w:p>
      <w:pPr>
        <w:pStyle w:val="TGSH1"/>
      </w:pPr>
      <w:r>
        <w:t>8-Week Timeline</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spacing w:after="80" w:before="80"/>
              <w:jc w:val="left"/>
            </w:pPr>
            <w:r>
              <w:rPr>
                <w:rFonts w:ascii="Calibri" w:hAnsi="Calibri"/>
                <w:b/>
                <w:color w:val="FFFFFF"/>
                <w:sz w:val="20"/>
              </w:rPr>
              <w:t>Week</w:t>
            </w:r>
          </w:p>
        </w:tc>
        <w:tc>
          <w:tcPr>
            <w:tcW w:type="dxa" w:w="2340"/>
            <w:shd w:fill="1e3a5f"/>
            <w:tcBorders>
              <w:bottom w:val="single" w:sz="12" w:color="d4a853"/>
            </w:tcBorders>
          </w:tcPr>
          <w:p>
            <w:pPr>
              <w:spacing w:after="80" w:before="80"/>
              <w:jc w:val="left"/>
            </w:pPr>
            <w:r>
              <w:rPr>
                <w:rFonts w:ascii="Calibri" w:hAnsi="Calibri"/>
                <w:b/>
                <w:color w:val="FFFFFF"/>
                <w:sz w:val="20"/>
              </w:rPr>
              <w:t>Dates</w:t>
            </w:r>
          </w:p>
        </w:tc>
        <w:tc>
          <w:tcPr>
            <w:tcW w:type="dxa" w:w="2340"/>
            <w:shd w:fill="1e3a5f"/>
            <w:tcBorders>
              <w:bottom w:val="single" w:sz="12" w:color="d4a853"/>
            </w:tcBorders>
          </w:tcPr>
          <w:p>
            <w:pPr>
              <w:spacing w:after="80" w:before="80"/>
              <w:jc w:val="left"/>
            </w:pPr>
            <w:r>
              <w:rPr>
                <w:rFonts w:ascii="Calibri" w:hAnsi="Calibri"/>
                <w:b/>
                <w:color w:val="FFFFFF"/>
                <w:sz w:val="20"/>
              </w:rPr>
              <w:t>Focus</w:t>
            </w:r>
          </w:p>
        </w:tc>
        <w:tc>
          <w:tcPr>
            <w:tcW w:type="dxa" w:w="2340"/>
            <w:shd w:fill="1e3a5f"/>
            <w:tcBorders>
              <w:bottom w:val="single" w:sz="12" w:color="d4a853"/>
            </w:tcBorders>
          </w:tcPr>
          <w:p>
            <w:pPr>
              <w:spacing w:after="80" w:before="80"/>
              <w:jc w:val="left"/>
            </w:pPr>
            <w:r>
              <w:rPr>
                <w:rFonts w:ascii="Calibri" w:hAnsi="Calibri"/>
                <w:b/>
                <w:color w:val="FFFFFF"/>
                <w:sz w:val="20"/>
              </w:rPr>
              <w:t>Key Milestones</w:t>
            </w:r>
          </w:p>
        </w:tc>
      </w:tr>
      <w:tr>
        <w:tc>
          <w:tcPr>
            <w:tcW w:type="dxa" w:w="2340"/>
            <w:shd w:fill="ffffff"/>
          </w:tcPr>
          <w:p>
            <w:pPr>
              <w:spacing w:after="80" w:before="80"/>
              <w:jc w:val="left"/>
            </w:pPr>
            <w:r>
              <w:rPr>
                <w:rFonts w:ascii="Calibri" w:hAnsi="Calibri"/>
                <w:color w:val="2C3E50"/>
                <w:sz w:val="20"/>
              </w:rPr>
              <w:t>1</w:t>
            </w:r>
          </w:p>
        </w:tc>
        <w:tc>
          <w:tcPr>
            <w:tcW w:type="dxa" w:w="2340"/>
            <w:shd w:fill="ffffff"/>
          </w:tcPr>
          <w:p>
            <w:pPr>
              <w:spacing w:after="80" w:before="80"/>
              <w:jc w:val="left"/>
            </w:pPr>
            <w:r>
              <w:rPr>
                <w:rFonts w:ascii="Calibri" w:hAnsi="Calibri"/>
                <w:color w:val="2C3E50"/>
                <w:sz w:val="20"/>
              </w:rPr>
              <w:t>Nov 22-28, 2025</w:t>
            </w:r>
          </w:p>
        </w:tc>
        <w:tc>
          <w:tcPr>
            <w:tcW w:type="dxa" w:w="2340"/>
            <w:shd w:fill="ffffff"/>
          </w:tcPr>
          <w:p>
            <w:pPr>
              <w:spacing w:after="80" w:before="80"/>
              <w:jc w:val="left"/>
            </w:pPr>
            <w:r>
              <w:rPr>
                <w:rFonts w:ascii="Calibri" w:hAnsi="Calibri"/>
                <w:color w:val="2C3E50"/>
                <w:sz w:val="20"/>
              </w:rPr>
              <w:t>Portal Registration</w:t>
            </w:r>
          </w:p>
        </w:tc>
        <w:tc>
          <w:tcPr>
            <w:tcW w:type="dxa" w:w="2340"/>
            <w:shd w:fill="ffffff"/>
          </w:tcPr>
          <w:p>
            <w:pPr>
              <w:spacing w:after="80" w:before="80"/>
              <w:jc w:val="left"/>
            </w:pPr>
            <w:r>
              <w:rPr>
                <w:rFonts w:ascii="Calibri" w:hAnsi="Calibri"/>
                <w:color w:val="2C3E50"/>
                <w:sz w:val="20"/>
              </w:rPr>
              <w:t>Register hawaiicf.smartsimple.com; Gather financial statements</w:t>
            </w:r>
          </w:p>
        </w:tc>
      </w:tr>
      <w:tr>
        <w:tc>
          <w:tcPr>
            <w:tcW w:type="dxa" w:w="2340"/>
            <w:shd w:fill="f5f7fa"/>
          </w:tcPr>
          <w:p>
            <w:pPr>
              <w:spacing w:after="80" w:before="80"/>
              <w:jc w:val="left"/>
            </w:pPr>
            <w:r>
              <w:rPr>
                <w:rFonts w:ascii="Calibri" w:hAnsi="Calibri"/>
                <w:color w:val="2C3E50"/>
                <w:sz w:val="20"/>
              </w:rPr>
              <w:t>2</w:t>
            </w:r>
          </w:p>
        </w:tc>
        <w:tc>
          <w:tcPr>
            <w:tcW w:type="dxa" w:w="2340"/>
            <w:shd w:fill="f5f7fa"/>
          </w:tcPr>
          <w:p>
            <w:pPr>
              <w:spacing w:after="80" w:before="80"/>
              <w:jc w:val="left"/>
            </w:pPr>
            <w:r>
              <w:rPr>
                <w:rFonts w:ascii="Calibri" w:hAnsi="Calibri"/>
                <w:color w:val="2C3E50"/>
                <w:sz w:val="20"/>
              </w:rPr>
              <w:t>Nov 29 - Dec 5, 2025</w:t>
            </w:r>
          </w:p>
        </w:tc>
        <w:tc>
          <w:tcPr>
            <w:tcW w:type="dxa" w:w="2340"/>
            <w:shd w:fill="f5f7fa"/>
          </w:tcPr>
          <w:p>
            <w:pPr>
              <w:spacing w:after="80" w:before="80"/>
              <w:jc w:val="left"/>
            </w:pPr>
            <w:r>
              <w:rPr>
                <w:rFonts w:ascii="Calibri" w:hAnsi="Calibri"/>
                <w:color w:val="2C3E50"/>
                <w:sz w:val="20"/>
              </w:rPr>
              <w:t>Document Preparation</w:t>
            </w:r>
          </w:p>
        </w:tc>
        <w:tc>
          <w:tcPr>
            <w:tcW w:type="dxa" w:w="2340"/>
            <w:shd w:fill="f5f7fa"/>
          </w:tcPr>
          <w:p>
            <w:pPr>
              <w:spacing w:after="80" w:before="80"/>
              <w:jc w:val="left"/>
            </w:pPr>
            <w:r>
              <w:rPr>
                <w:rFonts w:ascii="Calibri" w:hAnsi="Calibri"/>
                <w:color w:val="2C3E50"/>
                <w:sz w:val="20"/>
              </w:rPr>
              <w:t>Complete portal profile; Compile board list; Begin project budget</w:t>
            </w:r>
          </w:p>
        </w:tc>
      </w:tr>
      <w:tr>
        <w:tc>
          <w:tcPr>
            <w:tcW w:type="dxa" w:w="2340"/>
            <w:shd w:fill="ffffff"/>
          </w:tcPr>
          <w:p>
            <w:pPr>
              <w:spacing w:after="80" w:before="80"/>
              <w:jc w:val="left"/>
            </w:pPr>
            <w:r>
              <w:rPr>
                <w:rFonts w:ascii="Calibri" w:hAnsi="Calibri"/>
                <w:color w:val="2C3E50"/>
                <w:sz w:val="20"/>
              </w:rPr>
              <w:t>3</w:t>
            </w:r>
          </w:p>
        </w:tc>
        <w:tc>
          <w:tcPr>
            <w:tcW w:type="dxa" w:w="2340"/>
            <w:shd w:fill="ffffff"/>
          </w:tcPr>
          <w:p>
            <w:pPr>
              <w:spacing w:after="80" w:before="80"/>
              <w:jc w:val="left"/>
            </w:pPr>
            <w:r>
              <w:rPr>
                <w:rFonts w:ascii="Calibri" w:hAnsi="Calibri"/>
                <w:color w:val="2C3E50"/>
                <w:sz w:val="20"/>
              </w:rPr>
              <w:t>Dec 6-12, 2025</w:t>
            </w:r>
          </w:p>
        </w:tc>
        <w:tc>
          <w:tcPr>
            <w:tcW w:type="dxa" w:w="2340"/>
            <w:shd w:fill="ffffff"/>
          </w:tcPr>
          <w:p>
            <w:pPr>
              <w:spacing w:after="80" w:before="80"/>
              <w:jc w:val="left"/>
            </w:pPr>
            <w:r>
              <w:rPr>
                <w:rFonts w:ascii="Calibri" w:hAnsi="Calibri"/>
                <w:color w:val="2C3E50"/>
                <w:sz w:val="20"/>
              </w:rPr>
              <w:t>Atherton Application</w:t>
            </w:r>
          </w:p>
        </w:tc>
        <w:tc>
          <w:tcPr>
            <w:tcW w:type="dxa" w:w="2340"/>
            <w:shd w:fill="ffffff"/>
          </w:tcPr>
          <w:p>
            <w:pPr>
              <w:spacing w:after="80" w:before="80"/>
              <w:jc w:val="left"/>
            </w:pPr>
            <w:r>
              <w:rPr>
                <w:rFonts w:ascii="Calibri" w:hAnsi="Calibri"/>
                <w:color w:val="2C3E50"/>
                <w:sz w:val="20"/>
              </w:rPr>
              <w:t>Draft application narrative; Finalize project budget; Contact Bank of Hawaii</w:t>
            </w:r>
          </w:p>
        </w:tc>
      </w:tr>
      <w:tr>
        <w:tc>
          <w:tcPr>
            <w:tcW w:type="dxa" w:w="2340"/>
            <w:shd w:fill="f5f7fa"/>
          </w:tcPr>
          <w:p>
            <w:pPr>
              <w:spacing w:after="80" w:before="80"/>
              <w:jc w:val="left"/>
            </w:pPr>
            <w:r>
              <w:rPr>
                <w:rFonts w:ascii="Calibri" w:hAnsi="Calibri"/>
                <w:color w:val="2C3E50"/>
                <w:sz w:val="20"/>
              </w:rPr>
              <w:t>4</w:t>
            </w:r>
          </w:p>
        </w:tc>
        <w:tc>
          <w:tcPr>
            <w:tcW w:type="dxa" w:w="2340"/>
            <w:shd w:fill="f5f7fa"/>
          </w:tcPr>
          <w:p>
            <w:pPr>
              <w:spacing w:after="80" w:before="80"/>
              <w:jc w:val="left"/>
            </w:pPr>
            <w:r>
              <w:rPr>
                <w:rFonts w:ascii="Calibri" w:hAnsi="Calibri"/>
                <w:color w:val="2C3E50"/>
                <w:sz w:val="20"/>
              </w:rPr>
              <w:t>Dec 13-19, 2025</w:t>
            </w:r>
          </w:p>
        </w:tc>
        <w:tc>
          <w:tcPr>
            <w:tcW w:type="dxa" w:w="2340"/>
            <w:shd w:fill="f5f7fa"/>
          </w:tcPr>
          <w:p>
            <w:pPr>
              <w:spacing w:after="80" w:before="80"/>
              <w:jc w:val="left"/>
            </w:pPr>
            <w:r>
              <w:rPr>
                <w:rFonts w:ascii="Calibri" w:hAnsi="Calibri"/>
                <w:color w:val="2C3E50"/>
                <w:sz w:val="20"/>
              </w:rPr>
              <w:t>Atherton Completion</w:t>
            </w:r>
          </w:p>
        </w:tc>
        <w:tc>
          <w:tcPr>
            <w:tcW w:type="dxa" w:w="2340"/>
            <w:shd w:fill="f5f7fa"/>
          </w:tcPr>
          <w:p>
            <w:pPr>
              <w:spacing w:after="80" w:before="80"/>
              <w:jc w:val="left"/>
            </w:pPr>
            <w:r>
              <w:rPr>
                <w:rFonts w:ascii="Calibri" w:hAnsi="Calibri"/>
                <w:color w:val="2C3E50"/>
                <w:sz w:val="20"/>
              </w:rPr>
              <w:t>Complete all Atherton sections; Upload supporting documents</w:t>
            </w:r>
          </w:p>
        </w:tc>
      </w:tr>
      <w:tr>
        <w:tc>
          <w:tcPr>
            <w:tcW w:type="dxa" w:w="2340"/>
            <w:shd w:fill="ffffff"/>
          </w:tcPr>
          <w:p>
            <w:pPr>
              <w:spacing w:after="80" w:before="80"/>
              <w:jc w:val="left"/>
            </w:pPr>
            <w:r>
              <w:rPr>
                <w:rFonts w:ascii="Calibri" w:hAnsi="Calibri"/>
                <w:color w:val="2C3E50"/>
                <w:sz w:val="20"/>
              </w:rPr>
              <w:t>5</w:t>
            </w:r>
          </w:p>
        </w:tc>
        <w:tc>
          <w:tcPr>
            <w:tcW w:type="dxa" w:w="2340"/>
            <w:shd w:fill="ffffff"/>
          </w:tcPr>
          <w:p>
            <w:pPr>
              <w:spacing w:after="80" w:before="80"/>
              <w:jc w:val="left"/>
            </w:pPr>
            <w:r>
              <w:rPr>
                <w:rFonts w:ascii="Calibri" w:hAnsi="Calibri"/>
                <w:color w:val="2C3E50"/>
                <w:sz w:val="20"/>
              </w:rPr>
              <w:t>Dec 20-26, 2025</w:t>
            </w:r>
          </w:p>
        </w:tc>
        <w:tc>
          <w:tcPr>
            <w:tcW w:type="dxa" w:w="2340"/>
            <w:shd w:fill="ffffff"/>
          </w:tcPr>
          <w:p>
            <w:pPr>
              <w:spacing w:after="80" w:before="80"/>
              <w:jc w:val="left"/>
            </w:pPr>
            <w:r>
              <w:rPr>
                <w:rFonts w:ascii="Calibri" w:hAnsi="Calibri"/>
                <w:color w:val="2C3E50"/>
                <w:sz w:val="20"/>
              </w:rPr>
              <w:t>Review Period</w:t>
            </w:r>
          </w:p>
        </w:tc>
        <w:tc>
          <w:tcPr>
            <w:tcW w:type="dxa" w:w="2340"/>
            <w:shd w:fill="ffffff"/>
          </w:tcPr>
          <w:p>
            <w:pPr>
              <w:spacing w:after="80" w:before="80"/>
              <w:jc w:val="left"/>
            </w:pPr>
            <w:r>
              <w:rPr>
                <w:rFonts w:ascii="Calibri" w:hAnsi="Calibri"/>
                <w:color w:val="2C3E50"/>
                <w:sz w:val="20"/>
              </w:rPr>
              <w:t>Internal review of Atherton application; Begin Bank of Hawaii application</w:t>
            </w:r>
          </w:p>
        </w:tc>
      </w:tr>
      <w:tr>
        <w:tc>
          <w:tcPr>
            <w:tcW w:type="dxa" w:w="2340"/>
            <w:shd w:fill="f5f7fa"/>
          </w:tcPr>
          <w:p>
            <w:pPr>
              <w:spacing w:after="80" w:before="80"/>
              <w:jc w:val="left"/>
            </w:pPr>
            <w:r>
              <w:rPr>
                <w:rFonts w:ascii="Calibri" w:hAnsi="Calibri"/>
                <w:color w:val="2C3E50"/>
                <w:sz w:val="20"/>
              </w:rPr>
              <w:t>6</w:t>
            </w:r>
          </w:p>
        </w:tc>
        <w:tc>
          <w:tcPr>
            <w:tcW w:type="dxa" w:w="2340"/>
            <w:shd w:fill="f5f7fa"/>
          </w:tcPr>
          <w:p>
            <w:pPr>
              <w:spacing w:after="80" w:before="80"/>
              <w:jc w:val="left"/>
            </w:pPr>
            <w:r>
              <w:rPr>
                <w:rFonts w:ascii="Calibri" w:hAnsi="Calibri"/>
                <w:color w:val="2C3E50"/>
                <w:sz w:val="20"/>
              </w:rPr>
              <w:t>Dec 27 - Jan 2, 2026</w:t>
            </w:r>
          </w:p>
        </w:tc>
        <w:tc>
          <w:tcPr>
            <w:tcW w:type="dxa" w:w="2340"/>
            <w:shd w:fill="f5f7fa"/>
          </w:tcPr>
          <w:p>
            <w:pPr>
              <w:spacing w:after="80" w:before="80"/>
              <w:jc w:val="left"/>
            </w:pPr>
            <w:r>
              <w:rPr>
                <w:rFonts w:ascii="Calibri" w:hAnsi="Calibri"/>
                <w:color w:val="2C3E50"/>
                <w:sz w:val="20"/>
              </w:rPr>
              <w:t>Final Preparation</w:t>
            </w:r>
          </w:p>
        </w:tc>
        <w:tc>
          <w:tcPr>
            <w:tcW w:type="dxa" w:w="2340"/>
            <w:shd w:fill="f5f7fa"/>
          </w:tcPr>
          <w:p>
            <w:pPr>
              <w:spacing w:after="80" w:before="80"/>
              <w:jc w:val="left"/>
            </w:pPr>
            <w:r>
              <w:rPr>
                <w:rFonts w:ascii="Calibri" w:hAnsi="Calibri"/>
                <w:color w:val="2C3E50"/>
                <w:sz w:val="20"/>
              </w:rPr>
              <w:t>Final Atherton edits; Complete Bank of Hawaii draft</w:t>
            </w:r>
          </w:p>
        </w:tc>
      </w:tr>
      <w:tr>
        <w:tc>
          <w:tcPr>
            <w:tcW w:type="dxa" w:w="2340"/>
            <w:shd w:fill="ffffff"/>
          </w:tcPr>
          <w:p>
            <w:pPr>
              <w:spacing w:after="80" w:before="80"/>
              <w:jc w:val="left"/>
            </w:pPr>
            <w:r>
              <w:rPr>
                <w:rFonts w:ascii="Calibri" w:hAnsi="Calibri"/>
                <w:color w:val="2C3E50"/>
                <w:sz w:val="20"/>
              </w:rPr>
              <w:t>7</w:t>
            </w:r>
          </w:p>
        </w:tc>
        <w:tc>
          <w:tcPr>
            <w:tcW w:type="dxa" w:w="2340"/>
            <w:shd w:fill="ffffff"/>
          </w:tcPr>
          <w:p>
            <w:pPr>
              <w:spacing w:after="80" w:before="80"/>
              <w:jc w:val="left"/>
            </w:pPr>
            <w:r>
              <w:rPr>
                <w:rFonts w:ascii="Calibri" w:hAnsi="Calibri"/>
                <w:color w:val="2C3E50"/>
                <w:sz w:val="20"/>
              </w:rPr>
              <w:t>Jan 3-9, 2026</w:t>
            </w:r>
          </w:p>
        </w:tc>
        <w:tc>
          <w:tcPr>
            <w:tcW w:type="dxa" w:w="2340"/>
            <w:shd w:fill="ffffff"/>
          </w:tcPr>
          <w:p>
            <w:pPr>
              <w:spacing w:after="80" w:before="80"/>
              <w:jc w:val="left"/>
            </w:pPr>
            <w:r>
              <w:rPr>
                <w:rFonts w:ascii="Calibri" w:hAnsi="Calibri"/>
                <w:color w:val="2C3E50"/>
                <w:sz w:val="20"/>
              </w:rPr>
              <w:t>Atherton Submission</w:t>
            </w:r>
          </w:p>
        </w:tc>
        <w:tc>
          <w:tcPr>
            <w:tcW w:type="dxa" w:w="2340"/>
            <w:shd w:fill="ffffff"/>
          </w:tcPr>
          <w:p>
            <w:pPr>
              <w:spacing w:after="80" w:before="80"/>
              <w:jc w:val="left"/>
            </w:pPr>
            <w:r>
              <w:rPr>
                <w:rFonts w:ascii="Calibri" w:hAnsi="Calibri"/>
                <w:color w:val="2C3E50"/>
                <w:sz w:val="20"/>
              </w:rPr>
              <w:t>Submit Atherton by Jan 5 4:00 PM HST; Finalize Bank of Hawaii</w:t>
            </w:r>
          </w:p>
        </w:tc>
      </w:tr>
      <w:tr>
        <w:tc>
          <w:tcPr>
            <w:tcW w:type="dxa" w:w="2340"/>
            <w:shd w:fill="f5f7fa"/>
          </w:tcPr>
          <w:p>
            <w:pPr>
              <w:spacing w:after="80" w:before="80"/>
              <w:jc w:val="left"/>
            </w:pPr>
            <w:r>
              <w:rPr>
                <w:rFonts w:ascii="Calibri" w:hAnsi="Calibri"/>
                <w:color w:val="2C3E50"/>
                <w:sz w:val="20"/>
              </w:rPr>
              <w:t>8</w:t>
            </w:r>
          </w:p>
        </w:tc>
        <w:tc>
          <w:tcPr>
            <w:tcW w:type="dxa" w:w="2340"/>
            <w:shd w:fill="f5f7fa"/>
          </w:tcPr>
          <w:p>
            <w:pPr>
              <w:spacing w:after="80" w:before="80"/>
              <w:jc w:val="left"/>
            </w:pPr>
            <w:r>
              <w:rPr>
                <w:rFonts w:ascii="Calibri" w:hAnsi="Calibri"/>
                <w:color w:val="2C3E50"/>
                <w:sz w:val="20"/>
              </w:rPr>
              <w:t>Jan 10-16, 2026</w:t>
            </w:r>
          </w:p>
        </w:tc>
        <w:tc>
          <w:tcPr>
            <w:tcW w:type="dxa" w:w="2340"/>
            <w:shd w:fill="f5f7fa"/>
          </w:tcPr>
          <w:p>
            <w:pPr>
              <w:spacing w:after="80" w:before="80"/>
              <w:jc w:val="left"/>
            </w:pPr>
            <w:r>
              <w:rPr>
                <w:rFonts w:ascii="Calibri" w:hAnsi="Calibri"/>
                <w:color w:val="2C3E50"/>
                <w:sz w:val="20"/>
              </w:rPr>
              <w:t>Bank of Hawaii &amp; Weinberg</w:t>
            </w:r>
          </w:p>
        </w:tc>
        <w:tc>
          <w:tcPr>
            <w:tcW w:type="dxa" w:w="2340"/>
            <w:shd w:fill="f5f7fa"/>
          </w:tcPr>
          <w:p>
            <w:pPr>
              <w:spacing w:after="80" w:before="80"/>
              <w:jc w:val="left"/>
            </w:pPr>
            <w:r>
              <w:rPr>
                <w:rFonts w:ascii="Calibri" w:hAnsi="Calibri"/>
                <w:color w:val="2C3E50"/>
                <w:sz w:val="20"/>
              </w:rPr>
              <w:t>Submit Bank of Hawaii; Begin Weinberg LOI research</w:t>
            </w:r>
          </w:p>
        </w:tc>
      </w:tr>
    </w:tbl>
    <w:p/>
    <w:p>
      <w:pPr>
        <w:spacing w:before="160" w:after="160"/>
        <w:pBdr>
          <w:bottom w:val="single" w:sz="8" w:color="d4a853"/>
        </w:pBdr>
      </w:pPr>
    </w:p>
    <w:p>
      <w:pPr>
        <w:pStyle w:val="TGSH1"/>
      </w:pPr>
      <w:r>
        <w:t>Quick Reference</w:t>
      </w:r>
    </w:p>
    <w:p>
      <w:pPr>
        <w:pStyle w:val="TGSH2"/>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spacing w:after="80" w:before="80"/>
              <w:jc w:val="left"/>
            </w:pPr>
            <w:r>
              <w:rPr>
                <w:rFonts w:ascii="Calibri" w:hAnsi="Calibri"/>
                <w:b/>
                <w:color w:val="FFFFFF"/>
                <w:sz w:val="20"/>
              </w:rPr>
              <w:t>Funder</w:t>
            </w:r>
          </w:p>
        </w:tc>
        <w:tc>
          <w:tcPr>
            <w:tcW w:type="dxa" w:w="2340"/>
            <w:shd w:fill="1e3a5f"/>
            <w:tcBorders>
              <w:bottom w:val="single" w:sz="12" w:color="d4a853"/>
            </w:tcBorders>
          </w:tcPr>
          <w:p>
            <w:pPr>
              <w:spacing w:after="80" w:before="80"/>
              <w:jc w:val="left"/>
            </w:pPr>
            <w:r>
              <w:rPr>
                <w:rFonts w:ascii="Calibri" w:hAnsi="Calibri"/>
                <w:b/>
                <w:color w:val="FFFFFF"/>
                <w:sz w:val="20"/>
              </w:rPr>
              <w:t>Contact</w:t>
            </w:r>
          </w:p>
        </w:tc>
        <w:tc>
          <w:tcPr>
            <w:tcW w:type="dxa" w:w="2340"/>
            <w:shd w:fill="1e3a5f"/>
            <w:tcBorders>
              <w:bottom w:val="single" w:sz="12" w:color="d4a853"/>
            </w:tcBorders>
          </w:tcPr>
          <w:p>
            <w:pPr>
              <w:spacing w:after="80" w:before="80"/>
              <w:jc w:val="left"/>
            </w:pPr>
            <w:r>
              <w:rPr>
                <w:rFonts w:ascii="Calibri" w:hAnsi="Calibri"/>
                <w:b/>
                <w:color w:val="FFFFFF"/>
                <w:sz w:val="20"/>
              </w:rPr>
              <w:t>Email</w:t>
            </w:r>
          </w:p>
        </w:tc>
        <w:tc>
          <w:tcPr>
            <w:tcW w:type="dxa" w:w="2340"/>
            <w:shd w:fill="1e3a5f"/>
            <w:tcBorders>
              <w:bottom w:val="single" w:sz="12" w:color="d4a853"/>
            </w:tcBorders>
          </w:tcPr>
          <w:p>
            <w:pPr>
              <w:spacing w:after="80" w:before="80"/>
              <w:jc w:val="left"/>
            </w:pPr>
            <w:r>
              <w:rPr>
                <w:rFonts w:ascii="Calibri" w:hAnsi="Calibri"/>
                <w:b/>
                <w:color w:val="FFFFFF"/>
                <w:sz w:val="20"/>
              </w:rPr>
              <w:t>Phone</w:t>
            </w:r>
          </w:p>
        </w:tc>
      </w:tr>
      <w:tr>
        <w:tc>
          <w:tcPr>
            <w:tcW w:type="dxa" w:w="2340"/>
            <w:shd w:fill="ffffff"/>
          </w:tcPr>
          <w:p>
            <w:pPr>
              <w:spacing w:after="80" w:before="80"/>
              <w:jc w:val="left"/>
            </w:pPr>
            <w:r>
              <w:rPr>
                <w:rFonts w:ascii="Calibri" w:hAnsi="Calibri"/>
                <w:color w:val="2C3E50"/>
                <w:sz w:val="20"/>
              </w:rPr>
              <w:t>Atherton Family Foundation</w:t>
            </w:r>
          </w:p>
        </w:tc>
        <w:tc>
          <w:tcPr>
            <w:tcW w:type="dxa" w:w="2340"/>
            <w:shd w:fill="ffffff"/>
          </w:tcPr>
          <w:p>
            <w:pPr>
              <w:spacing w:after="80" w:before="80"/>
              <w:jc w:val="left"/>
            </w:pPr>
            <w:r>
              <w:rPr>
                <w:rFonts w:ascii="Calibri" w:hAnsi="Calibri"/>
                <w:color w:val="2C3E50"/>
                <w:sz w:val="20"/>
              </w:rPr>
              <w:t>Elizabeth Lentz-Hill</w:t>
            </w:r>
          </w:p>
        </w:tc>
        <w:tc>
          <w:tcPr>
            <w:tcW w:type="dxa" w:w="2340"/>
            <w:shd w:fill="ffffff"/>
          </w:tcPr>
          <w:p>
            <w:pPr>
              <w:spacing w:after="80" w:before="80"/>
              <w:jc w:val="left"/>
            </w:pPr>
            <w:r>
              <w:rPr>
                <w:rFonts w:ascii="Calibri" w:hAnsi="Calibri"/>
                <w:color w:val="2C3E50"/>
                <w:sz w:val="20"/>
              </w:rPr>
              <w:t>elentzhill@hcf-hawaii.org</w:t>
            </w:r>
          </w:p>
        </w:tc>
        <w:tc>
          <w:tcPr>
            <w:tcW w:type="dxa" w:w="2340"/>
            <w:shd w:fill="ffffff"/>
          </w:tcPr>
          <w:p>
            <w:pPr>
              <w:spacing w:after="80" w:before="80"/>
              <w:jc w:val="left"/>
            </w:pPr>
            <w:r>
              <w:rPr>
                <w:rFonts w:ascii="Calibri" w:hAnsi="Calibri"/>
                <w:color w:val="2C3E50"/>
                <w:sz w:val="20"/>
              </w:rPr>
              <w:t>(808) 566-5543</w:t>
            </w:r>
          </w:p>
        </w:tc>
      </w:tr>
      <w:tr>
        <w:tc>
          <w:tcPr>
            <w:tcW w:type="dxa" w:w="2340"/>
            <w:shd w:fill="f5f7fa"/>
          </w:tcPr>
          <w:p>
            <w:pPr>
              <w:spacing w:after="80" w:before="80"/>
              <w:jc w:val="left"/>
            </w:pPr>
            <w:r>
              <w:rPr>
                <w:rFonts w:ascii="Calibri" w:hAnsi="Calibri"/>
                <w:color w:val="2C3E50"/>
                <w:sz w:val="20"/>
              </w:rPr>
              <w:t>Bank of Hawaii Foundation</w:t>
            </w:r>
          </w:p>
        </w:tc>
        <w:tc>
          <w:tcPr>
            <w:tcW w:type="dxa" w:w="2340"/>
            <w:shd w:fill="f5f7fa"/>
          </w:tcPr>
          <w:p>
            <w:pPr>
              <w:spacing w:after="80" w:before="80"/>
              <w:jc w:val="left"/>
            </w:pPr>
            <w:r>
              <w:rPr>
                <w:rFonts w:ascii="Calibri" w:hAnsi="Calibri"/>
                <w:color w:val="2C3E50"/>
                <w:sz w:val="20"/>
              </w:rPr>
              <w:t>Foundation Office</w:t>
            </w:r>
          </w:p>
        </w:tc>
        <w:tc>
          <w:tcPr>
            <w:tcW w:type="dxa" w:w="2340"/>
            <w:shd w:fill="f5f7fa"/>
          </w:tcPr>
          <w:p>
            <w:pPr>
              <w:spacing w:after="80" w:before="80"/>
              <w:jc w:val="left"/>
            </w:pPr>
            <w:r>
              <w:rPr>
                <w:rFonts w:ascii="Calibri" w:hAnsi="Calibri"/>
                <w:color w:val="2C3E50"/>
                <w:sz w:val="20"/>
              </w:rPr>
              <w:t>Via website</w:t>
            </w:r>
          </w:p>
        </w:tc>
        <w:tc>
          <w:tcPr>
            <w:tcW w:type="dxa" w:w="2340"/>
            <w:shd w:fill="f5f7fa"/>
          </w:tcPr>
          <w:p>
            <w:pPr>
              <w:spacing w:after="80" w:before="80"/>
              <w:jc w:val="left"/>
            </w:pPr>
            <w:r>
              <w:rPr>
                <w:rFonts w:ascii="Calibri" w:hAnsi="Calibri"/>
                <w:color w:val="2C3E50"/>
                <w:sz w:val="20"/>
              </w:rPr>
              <w:t>(808) 694-4945</w:t>
            </w:r>
          </w:p>
        </w:tc>
      </w:tr>
      <w:tr>
        <w:tc>
          <w:tcPr>
            <w:tcW w:type="dxa" w:w="2340"/>
            <w:shd w:fill="ffffff"/>
          </w:tcPr>
          <w:p>
            <w:pPr>
              <w:spacing w:after="80" w:before="80"/>
              <w:jc w:val="left"/>
            </w:pPr>
            <w:r>
              <w:rPr>
                <w:rFonts w:ascii="Calibri" w:hAnsi="Calibri"/>
                <w:color w:val="2C3E50"/>
                <w:sz w:val="20"/>
              </w:rPr>
              <w:t>Weinberg Foundation</w:t>
            </w:r>
          </w:p>
        </w:tc>
        <w:tc>
          <w:tcPr>
            <w:tcW w:type="dxa" w:w="2340"/>
            <w:shd w:fill="ffffff"/>
          </w:tcPr>
          <w:p>
            <w:pPr>
              <w:spacing w:after="80" w:before="80"/>
              <w:jc w:val="left"/>
            </w:pPr>
            <w:r>
              <w:rPr>
                <w:rFonts w:ascii="Calibri" w:hAnsi="Calibri"/>
                <w:color w:val="2C3E50"/>
                <w:sz w:val="20"/>
              </w:rPr>
              <w:t>Via portal</w:t>
            </w:r>
          </w:p>
        </w:tc>
        <w:tc>
          <w:tcPr>
            <w:tcW w:type="dxa" w:w="2340"/>
            <w:shd w:fill="ffffff"/>
          </w:tcPr>
          <w:p>
            <w:pPr>
              <w:spacing w:after="80" w:before="80"/>
              <w:jc w:val="left"/>
            </w:pPr>
            <w:r>
              <w:rPr>
                <w:rFonts w:ascii="Calibri" w:hAnsi="Calibri"/>
                <w:color w:val="2C3E50"/>
                <w:sz w:val="20"/>
              </w:rPr>
              <w:t>Via website</w:t>
            </w:r>
          </w:p>
        </w:tc>
        <w:tc>
          <w:tcPr>
            <w:tcW w:type="dxa" w:w="2340"/>
            <w:shd w:fill="ffffff"/>
          </w:tcPr>
          <w:p>
            <w:pPr>
              <w:spacing w:after="80" w:before="80"/>
              <w:jc w:val="left"/>
            </w:pPr>
            <w:r>
              <w:rPr>
                <w:rFonts w:ascii="Calibri" w:hAnsi="Calibri"/>
                <w:color w:val="2C3E50"/>
                <w:sz w:val="20"/>
              </w:rPr>
              <w:t>—</w:t>
            </w:r>
          </w:p>
        </w:tc>
      </w:tr>
      <w:tr>
        <w:tc>
          <w:tcPr>
            <w:tcW w:type="dxa" w:w="2340"/>
            <w:shd w:fill="f5f7fa"/>
          </w:tcPr>
          <w:p>
            <w:pPr>
              <w:spacing w:after="80" w:before="80"/>
              <w:jc w:val="left"/>
            </w:pPr>
            <w:r>
              <w:rPr>
                <w:rFonts w:ascii="Calibri" w:hAnsi="Calibri"/>
                <w:color w:val="2C3E50"/>
                <w:sz w:val="20"/>
              </w:rPr>
              <w:t>Hawaii Community Foundation</w:t>
            </w:r>
          </w:p>
        </w:tc>
        <w:tc>
          <w:tcPr>
            <w:tcW w:type="dxa" w:w="2340"/>
            <w:shd w:fill="f5f7fa"/>
          </w:tcPr>
          <w:p>
            <w:pPr>
              <w:spacing w:after="80" w:before="80"/>
              <w:jc w:val="left"/>
            </w:pPr>
            <w:r>
              <w:rPr>
                <w:rFonts w:ascii="Calibri" w:hAnsi="Calibri"/>
                <w:color w:val="2C3E50"/>
                <w:sz w:val="20"/>
              </w:rPr>
              <w:t>General</w:t>
            </w:r>
          </w:p>
        </w:tc>
        <w:tc>
          <w:tcPr>
            <w:tcW w:type="dxa" w:w="2340"/>
            <w:shd w:fill="f5f7fa"/>
          </w:tcPr>
          <w:p>
            <w:pPr>
              <w:spacing w:after="80" w:before="80"/>
              <w:jc w:val="left"/>
            </w:pPr>
            <w:r>
              <w:rPr>
                <w:rFonts w:ascii="Calibri" w:hAnsi="Calibri"/>
                <w:color w:val="2C3E50"/>
                <w:sz w:val="20"/>
              </w:rPr>
              <w:t>Via portal</w:t>
            </w:r>
          </w:p>
        </w:tc>
        <w:tc>
          <w:tcPr>
            <w:tcW w:type="dxa" w:w="2340"/>
            <w:shd w:fill="f5f7fa"/>
          </w:tcPr>
          <w:p>
            <w:pPr>
              <w:spacing w:after="80" w:before="80"/>
              <w:jc w:val="left"/>
            </w:pPr>
            <w:r>
              <w:rPr>
                <w:rFonts w:ascii="Calibri" w:hAnsi="Calibri"/>
                <w:color w:val="2C3E50"/>
                <w:sz w:val="20"/>
              </w:rPr>
              <w:t>—</w:t>
            </w:r>
          </w:p>
        </w:tc>
      </w:tr>
      <w:tr>
        <w:tc>
          <w:tcPr>
            <w:tcW w:type="dxa" w:w="2340"/>
            <w:shd w:fill="ffffff"/>
          </w:tcPr>
          <w:p>
            <w:pPr>
              <w:spacing w:after="80" w:before="80"/>
              <w:jc w:val="left"/>
            </w:pPr>
            <w:r>
              <w:rPr>
                <w:rFonts w:ascii="Calibri" w:hAnsi="Calibri"/>
                <w:color w:val="2C3E50"/>
                <w:sz w:val="20"/>
              </w:rPr>
              <w:t>DLNR State Parks</w:t>
            </w:r>
          </w:p>
        </w:tc>
        <w:tc>
          <w:tcPr>
            <w:tcW w:type="dxa" w:w="2340"/>
            <w:shd w:fill="ffffff"/>
          </w:tcPr>
          <w:p>
            <w:pPr>
              <w:spacing w:after="80" w:before="80"/>
              <w:jc w:val="left"/>
            </w:pPr>
            <w:r>
              <w:rPr>
                <w:rFonts w:ascii="Calibri" w:hAnsi="Calibri"/>
                <w:color w:val="2C3E50"/>
                <w:sz w:val="20"/>
              </w:rPr>
              <w:t>LWCF Program</w:t>
            </w:r>
          </w:p>
        </w:tc>
        <w:tc>
          <w:tcPr>
            <w:tcW w:type="dxa" w:w="2340"/>
            <w:shd w:fill="ffffff"/>
          </w:tcPr>
          <w:p>
            <w:pPr>
              <w:spacing w:after="80" w:before="80"/>
              <w:jc w:val="left"/>
            </w:pPr>
            <w:r>
              <w:rPr>
                <w:rFonts w:ascii="Calibri" w:hAnsi="Calibri"/>
                <w:color w:val="2C3E50"/>
                <w:sz w:val="20"/>
              </w:rPr>
              <w:t>dlnr.dsp@hawaii.gov</w:t>
            </w:r>
          </w:p>
        </w:tc>
        <w:tc>
          <w:tcPr>
            <w:tcW w:type="dxa" w:w="2340"/>
            <w:shd w:fill="ffffff"/>
          </w:tcPr>
          <w:p>
            <w:pPr>
              <w:spacing w:after="80" w:before="80"/>
              <w:jc w:val="left"/>
            </w:pPr>
            <w:r>
              <w:rPr>
                <w:rFonts w:ascii="Calibri" w:hAnsi="Calibri"/>
                <w:color w:val="2C3E50"/>
                <w:sz w:val="20"/>
              </w:rPr>
              <w:t>(808) 587-0300</w:t>
            </w:r>
          </w:p>
        </w:tc>
      </w:tr>
    </w:tbl>
    <w:p/>
    <w:p>
      <w:pPr>
        <w:pStyle w:val="TGSH2"/>
      </w:pPr>
      <w:r>
        <w:t>Portals &amp; Deadlines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Funder</w:t>
            </w:r>
          </w:p>
        </w:tc>
        <w:tc>
          <w:tcPr>
            <w:tcW w:type="dxa" w:w="3120"/>
            <w:shd w:fill="1e3a5f"/>
            <w:tcBorders>
              <w:bottom w:val="single" w:sz="12" w:color="d4a853"/>
            </w:tcBorders>
          </w:tcPr>
          <w:p>
            <w:pPr>
              <w:spacing w:after="80" w:before="80"/>
              <w:jc w:val="left"/>
            </w:pPr>
            <w:r>
              <w:rPr>
                <w:rFonts w:ascii="Calibri" w:hAnsi="Calibri"/>
                <w:b/>
                <w:color w:val="FFFFFF"/>
                <w:sz w:val="20"/>
              </w:rPr>
              <w:t>Portal</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r>
      <w:tr>
        <w:tc>
          <w:tcPr>
            <w:tcW w:type="dxa" w:w="3120"/>
            <w:shd w:fill="ffffff"/>
          </w:tcPr>
          <w:p>
            <w:pPr>
              <w:spacing w:after="80" w:before="80"/>
              <w:jc w:val="left"/>
            </w:pPr>
            <w:r>
              <w:rPr>
                <w:rFonts w:ascii="Calibri" w:hAnsi="Calibri"/>
                <w:color w:val="2C3E50"/>
                <w:sz w:val="20"/>
              </w:rPr>
              <w:t>Atherton Family Foundation</w:t>
            </w:r>
          </w:p>
        </w:tc>
        <w:tc>
          <w:tcPr>
            <w:tcW w:type="dxa" w:w="3120"/>
            <w:shd w:fill="ffffff"/>
          </w:tcPr>
          <w:p>
            <w:pPr>
              <w:spacing w:after="80" w:before="80"/>
              <w:jc w:val="left"/>
            </w:pPr>
            <w:r>
              <w:rPr>
                <w:rFonts w:ascii="Calibri" w:hAnsi="Calibri"/>
                <w:color w:val="2C3E50"/>
                <w:sz w:val="20"/>
              </w:rPr>
              <w:t>hawaiicf.smartsimple.com</w:t>
            </w:r>
          </w:p>
        </w:tc>
        <w:tc>
          <w:tcPr>
            <w:tcW w:type="dxa" w:w="3120"/>
            <w:shd w:fill="ffffff"/>
          </w:tcPr>
          <w:p>
            <w:pPr>
              <w:spacing w:after="80" w:before="80"/>
              <w:jc w:val="left"/>
            </w:pPr>
            <w:r>
              <w:rPr>
                <w:rFonts w:ascii="Calibri" w:hAnsi="Calibri"/>
                <w:color w:val="2C3E50"/>
                <w:sz w:val="20"/>
              </w:rPr>
              <w:t>January 5, 2026</w:t>
            </w:r>
          </w:p>
        </w:tc>
      </w:tr>
      <w:tr>
        <w:tc>
          <w:tcPr>
            <w:tcW w:type="dxa" w:w="3120"/>
            <w:shd w:fill="f5f7fa"/>
          </w:tcPr>
          <w:p>
            <w:pPr>
              <w:spacing w:after="80" w:before="80"/>
              <w:jc w:val="left"/>
            </w:pPr>
            <w:r>
              <w:rPr>
                <w:rFonts w:ascii="Calibri" w:hAnsi="Calibri"/>
                <w:color w:val="2C3E50"/>
                <w:sz w:val="20"/>
              </w:rPr>
              <w:t>Bank of Hawaii Foundation</w:t>
            </w:r>
          </w:p>
        </w:tc>
        <w:tc>
          <w:tcPr>
            <w:tcW w:type="dxa" w:w="3120"/>
            <w:shd w:fill="f5f7fa"/>
          </w:tcPr>
          <w:p>
            <w:pPr>
              <w:spacing w:after="80" w:before="80"/>
              <w:jc w:val="left"/>
            </w:pPr>
            <w:r>
              <w:rPr>
                <w:rFonts w:ascii="Calibri" w:hAnsi="Calibri"/>
                <w:color w:val="2C3E50"/>
                <w:sz w:val="20"/>
              </w:rPr>
              <w:t>boh.com/philanthropy/grants (Code: BOHFMC)</w:t>
            </w:r>
          </w:p>
        </w:tc>
        <w:tc>
          <w:tcPr>
            <w:tcW w:type="dxa" w:w="3120"/>
            <w:shd w:fill="f5f7fa"/>
          </w:tcPr>
          <w:p>
            <w:pPr>
              <w:spacing w:after="80" w:before="80"/>
              <w:jc w:val="left"/>
            </w:pPr>
            <w:r>
              <w:rPr>
                <w:rFonts w:ascii="Calibri" w:hAnsi="Calibri"/>
                <w:color w:val="2C3E50"/>
                <w:sz w:val="20"/>
              </w:rPr>
              <w:t>January 2026</w:t>
            </w:r>
          </w:p>
        </w:tc>
      </w:tr>
      <w:tr>
        <w:tc>
          <w:tcPr>
            <w:tcW w:type="dxa" w:w="3120"/>
            <w:shd w:fill="ffffff"/>
          </w:tcPr>
          <w:p>
            <w:pPr>
              <w:spacing w:after="80" w:before="80"/>
              <w:jc w:val="left"/>
            </w:pPr>
            <w:r>
              <w:rPr>
                <w:rFonts w:ascii="Calibri" w:hAnsi="Calibri"/>
                <w:color w:val="2C3E50"/>
                <w:sz w:val="20"/>
              </w:rPr>
              <w:t>Weinberg Foundation</w:t>
            </w:r>
          </w:p>
        </w:tc>
        <w:tc>
          <w:tcPr>
            <w:tcW w:type="dxa" w:w="3120"/>
            <w:shd w:fill="ffffff"/>
          </w:tcPr>
          <w:p>
            <w:pPr>
              <w:spacing w:after="80" w:before="80"/>
              <w:jc w:val="left"/>
            </w:pPr>
            <w:r>
              <w:rPr>
                <w:rFonts w:ascii="Calibri" w:hAnsi="Calibri"/>
                <w:color w:val="2C3E50"/>
                <w:sz w:val="20"/>
              </w:rPr>
              <w:t>hjweinbergfoundation.org</w:t>
            </w:r>
          </w:p>
        </w:tc>
        <w:tc>
          <w:tcPr>
            <w:tcW w:type="dxa" w:w="3120"/>
            <w:shd w:fill="ffffff"/>
          </w:tcPr>
          <w:p>
            <w:pPr>
              <w:spacing w:after="80" w:before="80"/>
              <w:jc w:val="left"/>
            </w:pPr>
            <w:r>
              <w:rPr>
                <w:rFonts w:ascii="Calibri" w:hAnsi="Calibri"/>
                <w:color w:val="2C3E50"/>
                <w:sz w:val="20"/>
              </w:rPr>
              <w:t>Rolling</w:t>
            </w:r>
          </w:p>
        </w:tc>
      </w:tr>
      <w:tr>
        <w:tc>
          <w:tcPr>
            <w:tcW w:type="dxa" w:w="3120"/>
            <w:shd w:fill="f5f7fa"/>
          </w:tcPr>
          <w:p>
            <w:pPr>
              <w:spacing w:after="80" w:before="80"/>
              <w:jc w:val="left"/>
            </w:pPr>
            <w:r>
              <w:rPr>
                <w:rFonts w:ascii="Calibri" w:hAnsi="Calibri"/>
                <w:color w:val="2C3E50"/>
                <w:sz w:val="20"/>
              </w:rPr>
              <w:t>Hawaii Community Foundation</w:t>
            </w:r>
          </w:p>
        </w:tc>
        <w:tc>
          <w:tcPr>
            <w:tcW w:type="dxa" w:w="3120"/>
            <w:shd w:fill="f5f7fa"/>
          </w:tcPr>
          <w:p>
            <w:pPr>
              <w:spacing w:after="80" w:before="80"/>
              <w:jc w:val="left"/>
            </w:pPr>
            <w:r>
              <w:rPr>
                <w:rFonts w:ascii="Calibri" w:hAnsi="Calibri"/>
                <w:color w:val="2C3E50"/>
                <w:sz w:val="20"/>
              </w:rPr>
              <w:t>hawaiicf.smartsimple.com</w:t>
            </w:r>
          </w:p>
        </w:tc>
        <w:tc>
          <w:tcPr>
            <w:tcW w:type="dxa" w:w="3120"/>
            <w:shd w:fill="f5f7fa"/>
          </w:tcPr>
          <w:p>
            <w:pPr>
              <w:spacing w:after="80" w:before="80"/>
              <w:jc w:val="left"/>
            </w:pPr>
            <w:r>
              <w:rPr>
                <w:rFonts w:ascii="Calibri" w:hAnsi="Calibri"/>
                <w:color w:val="2C3E50"/>
                <w:sz w:val="20"/>
              </w:rPr>
              <w:t>April 2026</w:t>
            </w:r>
          </w:p>
        </w:tc>
      </w:tr>
      <w:tr>
        <w:tc>
          <w:tcPr>
            <w:tcW w:type="dxa" w:w="3120"/>
            <w:shd w:fill="ffffff"/>
          </w:tcPr>
          <w:p>
            <w:pPr>
              <w:spacing w:after="80" w:before="80"/>
              <w:jc w:val="left"/>
            </w:pPr>
            <w:r>
              <w:rPr>
                <w:rFonts w:ascii="Calibri" w:hAnsi="Calibri"/>
                <w:color w:val="2C3E50"/>
                <w:sz w:val="20"/>
              </w:rPr>
              <w:t>LWCF</w:t>
            </w:r>
          </w:p>
        </w:tc>
        <w:tc>
          <w:tcPr>
            <w:tcW w:type="dxa" w:w="3120"/>
            <w:shd w:fill="ffffff"/>
          </w:tcPr>
          <w:p>
            <w:pPr>
              <w:spacing w:after="80" w:before="80"/>
              <w:jc w:val="left"/>
            </w:pPr>
            <w:r>
              <w:rPr>
                <w:rFonts w:ascii="Calibri" w:hAnsi="Calibri"/>
                <w:color w:val="2C3E50"/>
                <w:sz w:val="20"/>
              </w:rPr>
              <w:t>dlnr.hawaii.gov/ecosystems/llcp/</w:t>
            </w:r>
          </w:p>
        </w:tc>
        <w:tc>
          <w:tcPr>
            <w:tcW w:type="dxa" w:w="3120"/>
            <w:shd w:fill="ffffff"/>
          </w:tcPr>
          <w:p>
            <w:pPr>
              <w:spacing w:after="80" w:before="80"/>
              <w:jc w:val="left"/>
            </w:pPr>
            <w:r>
              <w:rPr>
                <w:rFonts w:ascii="Calibri" w:hAnsi="Calibri"/>
                <w:color w:val="2C3E50"/>
                <w:sz w:val="20"/>
              </w:rPr>
              <w:t>Contact DLNR</w:t>
            </w:r>
          </w:p>
        </w:tc>
      </w:tr>
    </w:tbl>
    <w:p/>
    <w:p>
      <w:pPr>
        <w:spacing w:before="160" w:after="160"/>
        <w:pBdr>
          <w:bottom w:val="single" w:sz="8" w:color="d4a853"/>
        </w:pBdr>
      </w:pPr>
    </w:p>
    <w:p>
      <w:pPr>
        <w:pStyle w:val="TGSMeta"/>
      </w:pPr>
      <w:r>
        <w:rPr>
          <w:rFonts w:ascii="Calibri" w:hAnsi="Calibri"/>
          <w:b/>
          <w:color w:val="2C3E50"/>
          <w:sz w:val="22"/>
        </w:rPr>
        <w:t xml:space="preserve">Prepared by: </w:t>
      </w:r>
      <w:r>
        <w:rPr>
          <w:rFonts w:ascii="Calibri" w:hAnsi="Calibri"/>
          <w:color w:val="6C757D"/>
          <w:sz w:val="22"/>
        </w:rPr>
        <w:t>TheGrantScout Research Team</w:t>
      </w:r>
    </w:p>
    <w:p>
      <w:pPr>
        <w:pStyle w:val="TGSMeta"/>
      </w:pPr>
      <w:r>
        <w:rPr>
          <w:rFonts w:ascii="Calibri" w:hAnsi="Calibri"/>
          <w:b/>
          <w:color w:val="2C3E50"/>
          <w:sz w:val="22"/>
        </w:rPr>
        <w:t xml:space="preserve">Date: </w:t>
      </w:r>
      <w:r>
        <w:rPr>
          <w:rFonts w:ascii="Calibri" w:hAnsi="Calibri"/>
          <w:color w:val="6C757D"/>
          <w:sz w:val="22"/>
        </w:rPr>
        <w:t>November 22, 2025</w:t>
      </w:r>
    </w:p>
    <w:p>
      <w:pPr>
        <w:pStyle w:val="TGSMeta"/>
      </w:pPr>
      <w:r>
        <w:rPr>
          <w:rFonts w:ascii="Calibri" w:hAnsi="Calibri"/>
          <w:b/>
          <w:color w:val="2C3E50"/>
          <w:sz w:val="22"/>
        </w:rPr>
        <w:t xml:space="preserve">Next Report: </w:t>
      </w:r>
      <w:r>
        <w:rPr>
          <w:rFonts w:ascii="Calibri" w:hAnsi="Calibri"/>
          <w:color w:val="6C757D"/>
          <w:sz w:val="22"/>
        </w:rPr>
        <w:t>November 29, 2025</w:t>
      </w:r>
    </w:p>
    <w:p>
      <w:pPr>
        <w:pStyle w:val="TGSBody"/>
      </w:pPr>
      <w:r>
        <w:rPr>
          <w:rFonts w:ascii="Calibri" w:hAnsi="Calibri"/>
          <w:color w:val="2C3E50"/>
          <w:sz w:val="22"/>
        </w:rPr>
        <w:t>*Deadlines and requirements may change. Verify current information with funders before submitting.*</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1E3A5F"/>
        <w:sz w:val="18"/>
      </w:rPr>
      <w:t>thegrantscout.com</w:t>
    </w:r>
    <w:r>
      <w:rPr>
        <w:rFonts w:ascii="Calibri" w:hAnsi="Calibri"/>
        <w:i/>
        <w:color w:val="6C757D"/>
        <w:sz w:val="18"/>
      </w:rPr>
      <w:t xml:space="preserve">  |  Your mission deserves funding. We'll help you find 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Light" w:hAnsi="Calibri Light"/>
        <w:b/>
        <w:color w:val="1E3A5F"/>
        <w:sz w:val="24"/>
      </w:rPr>
      <w:t>TheGrantScout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GSTitle">
    <w:name w:val="TGS Title"/>
    <w:pPr>
      <w:spacing w:after="0" w:before="0"/>
    </w:pPr>
    <w:rPr>
      <w:rFonts w:ascii="Calibri Light" w:hAnsi="Calibri Light"/>
      <w:b/>
      <w:color w:val="1E3A5F"/>
      <w:sz w:val="64"/>
    </w:rPr>
  </w:style>
  <w:style w:type="paragraph" w:customStyle="1" w:styleId="TGSSubtitle">
    <w:name w:val="TGS Subtitle"/>
    <w:pPr>
      <w:spacing w:after="160" w:before="0"/>
    </w:pPr>
    <w:rPr>
      <w:rFonts w:ascii="Calibri Light" w:hAnsi="Calibri Light"/>
      <w:color w:val="6C757D"/>
      <w:sz w:val="36"/>
    </w:rPr>
  </w:style>
  <w:style w:type="paragraph" w:customStyle="1" w:styleId="TGSMeta">
    <w:name w:val="TGS Meta"/>
    <w:pPr>
      <w:spacing w:after="80"/>
    </w:pPr>
    <w:rPr>
      <w:rFonts w:ascii="Calibri" w:hAnsi="Calibri"/>
      <w:color w:val="6C757D"/>
      <w:sz w:val="22"/>
    </w:rPr>
  </w:style>
  <w:style w:type="paragraph" w:customStyle="1" w:styleId="TGSH1">
    <w:name w:val="TGS H1"/>
    <w:pPr>
      <w:spacing w:before="480" w:after="240"/>
    </w:pPr>
    <w:rPr>
      <w:rFonts w:ascii="Calibri Light" w:hAnsi="Calibri Light"/>
      <w:b/>
      <w:color w:val="1E3A5F"/>
      <w:sz w:val="40"/>
    </w:rPr>
  </w:style>
  <w:style w:type="paragraph" w:customStyle="1" w:styleId="TGSH2">
    <w:name w:val="TGS H2"/>
    <w:pPr>
      <w:spacing w:before="320" w:after="160"/>
    </w:pPr>
    <w:rPr>
      <w:rFonts w:ascii="Calibri" w:hAnsi="Calibri"/>
      <w:b/>
      <w:color w:val="152B47"/>
      <w:sz w:val="28"/>
    </w:rPr>
  </w:style>
  <w:style w:type="paragraph" w:customStyle="1" w:styleId="TGSH3">
    <w:name w:val="TGS H3"/>
    <w:pPr>
      <w:spacing w:before="240" w:after="120"/>
    </w:pPr>
    <w:rPr>
      <w:rFonts w:ascii="Calibri" w:hAnsi="Calibri"/>
      <w:b/>
      <w:color w:val="2C3E50"/>
      <w:sz w:val="24"/>
    </w:rPr>
  </w:style>
  <w:style w:type="paragraph" w:customStyle="1" w:styleId="TGSBody">
    <w:name w:val="TGS Body"/>
    <w:pPr>
      <w:spacing w:after="160" w:line="276" w:lineRule="auto"/>
    </w:pPr>
    <w:rPr>
      <w:rFonts w:ascii="Calibri" w:hAnsi="Calibri"/>
      <w:color w:val="2C3E50"/>
      <w:sz w:val="22"/>
    </w:rPr>
  </w:style>
  <w:style w:type="paragraph" w:customStyle="1" w:styleId="TGSUrgent">
    <w:name w:val="TGS Urgent"/>
    <w:pPr>
      <w:spacing w:after="160"/>
    </w:pPr>
    <w:rPr>
      <w:rFonts w:ascii="Calibri" w:hAnsi="Calibri"/>
      <w:b/>
      <w:color w:val="DC3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