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pf_capital_gains - Column Reference</w:t>
      </w:r>
    </w:p>
    <w:p>
      <w:r>
        <w:rPr>
          <w:b/>
        </w:rPr>
        <w:t xml:space="preserve">Table: </w:t>
      </w:r>
      <w:r>
        <w:t>f990_2025.pf_capital_gains</w:t>
        <w:br/>
      </w:r>
      <w:r>
        <w:rPr>
          <w:b/>
        </w:rPr>
        <w:t xml:space="preserve">Granularity: </w:t>
      </w:r>
      <w:r>
        <w:t>One row per capital gain/loss line item from 990-PF Part IV</w:t>
        <w:br/>
      </w:r>
      <w:r>
        <w:rPr>
          <w:b/>
        </w:rPr>
        <w:t xml:space="preserve">Total rows: </w:t>
      </w:r>
      <w:r>
        <w:t>3,740,163</w:t>
        <w:br/>
      </w:r>
      <w:r>
        <w:rPr>
          <w:b/>
        </w:rPr>
        <w:t xml:space="preserve">Unique EINs: </w:t>
      </w:r>
      <w:r>
        <w:t>66,848</w:t>
        <w:br/>
      </w:r>
      <w:r>
        <w:rPr>
          <w:b/>
        </w:rPr>
        <w:t xml:space="preserve">Source: </w:t>
      </w:r>
      <w:r>
        <w:t>990-PF Part IV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3,740,163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pf_return_id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3,740,163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pf_returns.id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3,740,163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Foundation EIN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3,740,163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3,740,163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Property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property_desc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3,739,535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Description of the property sold (e.g., stock name, real estate)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how_acquired_cd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1,947,758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52.1%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How property was acquired: P=Purchase, D=Donation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date_acquired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1,963,624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52.5%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Date property was acquired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date_sold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2,119,296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56.7%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Date property was sold</w:t>
            </w:r>
          </w:p>
        </w:tc>
      </w:tr>
    </w:tbl>
    <w:p/>
    <w:p>
      <w:pPr>
        <w:pStyle w:val="Heading2"/>
      </w:pPr>
      <w:r>
        <w:t>Financial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gross_sales_price_amt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2,182,134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58.3%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Gross sales price of the property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cost_or_other_basis_amt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2,153,409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57.6%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Cost or other basis of the property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gain_or_loss_amt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3,629,630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97.0%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 capital gain or loss (sales price minus basis)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