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pPr>
      <w:r>
        <w:rPr>
          <w:rFonts w:ascii="Arial" w:hAnsi="Arial"/>
          <w:b/>
          <w:sz w:val="22"/>
        </w:rPr>
        <w:t>FR-13: Recurrence Expansion and Series Management</w:t>
      </w:r>
    </w:p>
    <w:tbl>
      <w:tblPr>
        <w:tblStyle w:val="TableGrid"/>
        <w:tblW w:type="auto" w:w="0"/>
        <w:tblLook w:firstColumn="1" w:firstRow="1" w:lastColumn="0" w:lastRow="0" w:noHBand="0" w:noVBand="1" w:val="04A0"/>
      </w:tblPr>
      <w:tblGrid>
        <w:gridCol w:w="2160"/>
        <w:gridCol w:w="7200"/>
      </w:tblGrid>
      <w:tr>
        <w:tc>
          <w:tcPr>
            <w:tcW w:type="dxa" w:w="4320"/>
            <w:shd w:val="clear" w:color="auto" w:fill="D9E1F2"/>
          </w:tcPr>
          <w:p>
            <w:r>
              <w:rPr>
                <w:rFonts w:ascii="Arial" w:hAnsi="Arial"/>
                <w:b/>
                <w:sz w:val="21"/>
              </w:rPr>
              <w:t>ID</w:t>
            </w:r>
          </w:p>
        </w:tc>
        <w:tc>
          <w:tcPr>
            <w:tcW w:type="dxa" w:w="4320"/>
          </w:tcPr>
          <w:p>
            <w:r>
              <w:rPr>
                <w:rFonts w:ascii="Arial" w:hAnsi="Arial"/>
                <w:sz w:val="21"/>
              </w:rPr>
              <w:t>FR-13</w:t>
            </w:r>
          </w:p>
        </w:tc>
      </w:tr>
      <w:tr>
        <w:tc>
          <w:tcPr>
            <w:tcW w:type="dxa" w:w="4320"/>
            <w:shd w:val="clear" w:color="auto" w:fill="D9E1F2"/>
          </w:tcPr>
          <w:p>
            <w:r>
              <w:rPr>
                <w:rFonts w:ascii="Arial" w:hAnsi="Arial"/>
                <w:b/>
                <w:sz w:val="21"/>
              </w:rPr>
              <w:t>User Story</w:t>
            </w:r>
          </w:p>
        </w:tc>
        <w:tc>
          <w:tcPr>
            <w:tcW w:type="dxa" w:w="4320"/>
          </w:tcPr>
          <w:p>
            <w:r>
              <w:rPr>
                <w:rFonts w:ascii="Arial" w:hAnsi="Arial"/>
                <w:sz w:val="21"/>
              </w:rPr>
              <w:t>PB-05 (extended): "As a registered user, I can create events with a repeating daily, weekly, or monthly schedule so that recurring appointments are expanded automatically and managed as a linked series"</w:t>
            </w:r>
          </w:p>
        </w:tc>
      </w:tr>
      <w:tr>
        <w:tc>
          <w:tcPr>
            <w:tcW w:type="dxa" w:w="4320"/>
            <w:shd w:val="clear" w:color="auto" w:fill="D9E1F2"/>
          </w:tcPr>
          <w:p>
            <w:r>
              <w:rPr>
                <w:rFonts w:ascii="Arial" w:hAnsi="Arial"/>
                <w:b/>
                <w:sz w:val="21"/>
              </w:rPr>
              <w:t>Problem Statement</w:t>
            </w:r>
          </w:p>
        </w:tc>
        <w:tc>
          <w:tcPr>
            <w:tcW w:type="dxa" w:w="4320"/>
          </w:tcPr>
          <w:p>
            <w:r>
              <w:rPr>
                <w:rFonts w:ascii="Arial" w:hAnsi="Arial"/>
                <w:sz w:val="21"/>
              </w:rPr>
              <w:t>Basic event CRUD is not sufficient for recurring appointments. A repeating schedule must be expanded algorithmically into individual occurrences before storage — protecting against calendar edge cases such as month-end date overflow (e.g., a monthly event on January 31 cannot fall on February 31) and unbounded expansion loops. Each occurrence must also be checked against the user's existing schedule before insertion, so the user is warned of conflicts upfront rather than discovering overlaps after the fact.</w:t>
            </w:r>
          </w:p>
        </w:tc>
      </w:tr>
      <w:tr>
        <w:tc>
          <w:tcPr>
            <w:tcW w:type="dxa" w:w="4320"/>
            <w:shd w:val="clear" w:color="auto" w:fill="D9E1F2"/>
          </w:tcPr>
          <w:p>
            <w:r>
              <w:rPr>
                <w:rFonts w:ascii="Arial" w:hAnsi="Arial"/>
                <w:b/>
                <w:sz w:val="21"/>
              </w:rPr>
              <w:t>Description</w:t>
            </w:r>
          </w:p>
        </w:tc>
        <w:tc>
          <w:tcPr>
            <w:tcW w:type="dxa" w:w="4320"/>
          </w:tcPr>
          <w:p>
            <w:r>
              <w:rPr>
                <w:rFonts w:ascii="Arial" w:hAnsi="Arial"/>
                <w:sz w:val="21"/>
              </w:rPr>
              <w:t>When POST /events is called with recurrence_rule set to "daily", "weekly", or "monthly", the system calls expand_occurrences() in app/core/recurrence.py to produce a list of (start_time, end_time) UTC datetime pairs. The interval parameter controls step size (every N days, weeks, or months). For weekly recurrence, byday specifies which weekdays to include as a comma-separated string (e.g., "MON,WED"); if omitted, the weekday of the base event is used. The end condition is set by end_type: "count" fixes the number of occurrences (validated as 1–365 in the router) or "until" sets a specific end date (the router caps end_count at 500 as a safety guard). A second hard ceiling of MAX_OCCURRENCES = 500 is enforced inside expand_occurrences() itself. For monthly recurrence, if the target day does not exist in a given month, it is clamped to the last valid day using calendar.monthrange() — for example, a monthly event anchored on the 31st is placed on the 28th in February. After expansion, detect_series_conflicts() queries the database for any events belonging to the same user that overlap each occurrence and returns a list of conflicts. All inserted occurrences share a recurrence_group_id (UUID), enabling series-level operations: GET /events/{id}/series retrieves all occurrences in the group; DELETE /events/{id}/series?scope=all removes the entire series; scope=from_here removes from the selected occurrence onward.</w:t>
            </w:r>
          </w:p>
        </w:tc>
      </w:tr>
      <w:tr>
        <w:tc>
          <w:tcPr>
            <w:tcW w:type="dxa" w:w="4320"/>
            <w:shd w:val="clear" w:color="auto" w:fill="D9E1F2"/>
          </w:tcPr>
          <w:p>
            <w:r>
              <w:rPr>
                <w:rFonts w:ascii="Arial" w:hAnsi="Arial"/>
                <w:b/>
                <w:sz w:val="21"/>
              </w:rPr>
              <w:t>Acceptance Criteria</w:t>
            </w:r>
          </w:p>
        </w:tc>
        <w:tc>
          <w:tcPr>
            <w:tcW w:type="dxa" w:w="4320"/>
          </w:tcPr>
          <w:p>
            <w:r>
              <w:rPr>
                <w:rFonts w:ascii="Arial" w:hAnsi="Arial"/>
                <w:sz w:val="21"/>
              </w:rPr>
              <w:t>POST /events with recurrence_rule != "none" returns recurrence_created (count of occurrences inserted) and recurrence_conflicts (list of per-occurrence conflicts; may be empty). Daily recurrence with interval=N places occurrences exactly N days apart. Weekly recurrence respects byday; if byday is empty, defaults to the base event's weekday. Monthly recurrence clamps to the last valid day when the target day exceeds the month length (January 31 → February 28 in a non-leap year). end_type="count" with end_count outside [1, 365] returns HTTP 400. end_type="until" with end_until before the start date returns HTTP 400. No series exceeds 500 occurrences regardless of end_type. GET /events/{id}/series returns all events sharing recurrence_group_id. DELETE /events/{id}/series?scope=all removes the entire group; scope=from_here removes from the given occurrence onward.</w:t>
            </w:r>
          </w:p>
        </w:tc>
      </w:tr>
      <w:tr>
        <w:tc>
          <w:tcPr>
            <w:tcW w:type="dxa" w:w="4320"/>
            <w:shd w:val="clear" w:color="auto" w:fill="D9E1F2"/>
          </w:tcPr>
          <w:p>
            <w:r>
              <w:rPr>
                <w:rFonts w:ascii="Arial" w:hAnsi="Arial"/>
                <w:b/>
                <w:sz w:val="21"/>
              </w:rPr>
              <w:t>Priority</w:t>
            </w:r>
          </w:p>
        </w:tc>
        <w:tc>
          <w:tcPr>
            <w:tcW w:type="dxa" w:w="4320"/>
          </w:tcPr>
          <w:p>
            <w:r>
              <w:rPr>
                <w:rFonts w:ascii="Arial" w:hAnsi="Arial"/>
                <w:sz w:val="21"/>
              </w:rPr>
              <w:t>Must Have</w:t>
            </w:r>
          </w:p>
        </w:tc>
      </w:tr>
      <w:tr>
        <w:tc>
          <w:tcPr>
            <w:tcW w:type="dxa" w:w="4320"/>
            <w:shd w:val="clear" w:color="auto" w:fill="D9E1F2"/>
          </w:tcPr>
          <w:p>
            <w:r>
              <w:rPr>
                <w:rFonts w:ascii="Arial" w:hAnsi="Arial"/>
                <w:b/>
                <w:sz w:val="21"/>
              </w:rPr>
              <w:t>Implemented</w:t>
            </w:r>
          </w:p>
        </w:tc>
        <w:tc>
          <w:tcPr>
            <w:tcW w:type="dxa" w:w="4320"/>
          </w:tcPr>
          <w:p>
            <w:r>
              <w:rPr>
                <w:rFonts w:ascii="Arial" w:hAnsi="Arial"/>
                <w:sz w:val="21"/>
              </w:rPr>
              <w:t>Yes — expand_occurrences() and detect_series_conflicts() in app/core/recurrence.py; invoked from POST /events in app/routers/events.py; series endpoints: GET /events/{id}/series, DELETE /events/{id}/series</w:t>
            </w:r>
          </w:p>
        </w:tc>
      </w:tr>
      <w:tr>
        <w:tc>
          <w:tcPr>
            <w:tcW w:type="dxa" w:w="4320"/>
            <w:shd w:val="clear" w:color="auto" w:fill="D9E1F2"/>
          </w:tcPr>
          <w:p>
            <w:r>
              <w:rPr>
                <w:rFonts w:ascii="Arial" w:hAnsi="Arial"/>
                <w:b/>
                <w:sz w:val="21"/>
              </w:rPr>
              <w:t>Tested</w:t>
            </w:r>
          </w:p>
        </w:tc>
        <w:tc>
          <w:tcPr>
            <w:tcW w:type="dxa" w:w="4320"/>
          </w:tcPr>
          <w:p>
            <w:r>
              <w:rPr>
                <w:rFonts w:ascii="Arial" w:hAnsi="Arial"/>
                <w:sz w:val="21"/>
              </w:rPr>
              <w:t>Pytest: test_recurrence.py (16 tests covering daily, weekly, and monthly frequencies; both end_type modes; interval stepping; monthly day-clamping; MAX_OCCURRENCES hard cap; zero-duration events); series and conflict detection exercised via integration tests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