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FinGuard AI: An AI-Powered Personal Finance Tracker with Real-Time Fraud Detection and OCR-Based Bill Digitization</w:t>
      </w:r>
    </w:p>
    <w:p>
      <w:pPr>
        <w:spacing w:after="40"/>
        <w:jc w:val="center"/>
      </w:pPr>
      <w:r>
        <w:rPr>
          <w:sz w:val="22"/>
          <w:szCs w:val="22"/>
        </w:rPr>
        <w:t xml:space="preserve">Author Name</w:t>
      </w:r>
    </w:p>
    <w:p>
      <w:pPr>
        <w:spacing w:after="20"/>
        <w:jc w:val="center"/>
      </w:pPr>
      <w:r>
        <w:rPr>
          <w:i/>
          <w:iCs/>
          <w:sz w:val="20"/>
          <w:szCs w:val="20"/>
        </w:rPr>
        <w:t xml:space="preserve">Department of Computer Science / Information Technology, [Your Institution Name]</w:t>
      </w:r>
    </w:p>
    <w:p>
      <w:pPr>
        <w:spacing w:after="200"/>
      </w:pPr>
    </w:p>
    <w:p>
      <w:pPr>
        <w:spacing w:after="60" w:before="100"/>
      </w:pPr>
      <w:r>
        <w:rPr>
          <w:b/>
          <w:bCs/>
          <w:i/>
          <w:iCs/>
          <w:sz w:val="20"/>
          <w:szCs w:val="20"/>
        </w:rPr>
        <w:t xml:space="preserve">Abstract</w:t>
      </w:r>
    </w:p>
    <w:p>
      <w:pPr>
        <w:spacing w:after="100"/>
        <w:jc w:val="both"/>
      </w:pPr>
      <w:r>
        <w:rPr>
          <w:sz w:val="20"/>
          <w:szCs w:val="20"/>
        </w:rPr>
        <w:t xml:space="preserve">Personal finance applications typically offer expense categorization but little intelligence beyond it, and rarely surface unusual transactions to the user in real time. This paper presents FinGuard AI, a full-stack web application that augments conventional transaction tracking with an unsupervised Isolation Forest model for real-time fraud/anomaly scoring, a regression-based next-month expense forecaster, an OCR pipeline (Tesseract) for converting photographed receipts into structured, user-confirmed transactions, and GPT-assisted savings advice with a deterministic rule-based fallback. We describe the system architecture, the design rationale behind the ML components given the constraint of no real labelled fraud data, and report evaluation results on a synthetic-but-realistic transaction dataset (fraud detector: 0.95 precision / 0.98 recall; forecaster: MAE ≈ 34.75). We discuss the engineering trade-offs made to keep the system fully functional without paid third-party dependencies and outline directions for evaluation on real-world data.</w:t>
      </w:r>
    </w:p>
    <w:p>
      <w:pPr>
        <w:spacing w:after="200" w:before="100"/>
      </w:pPr>
      <w:r>
        <w:rPr>
          <w:b/>
          <w:bCs/>
          <w:i/>
          <w:iCs/>
          <w:sz w:val="20"/>
          <w:szCs w:val="20"/>
        </w:rPr>
        <w:t xml:space="preserve">Keywords: </w:t>
      </w:r>
      <w:r>
        <w:rPr>
          <w:i/>
          <w:iCs/>
          <w:sz w:val="20"/>
          <w:szCs w:val="20"/>
        </w:rPr>
        <w:t xml:space="preserve">fraud detection, anomaly detection, Isolation Forest, OCR, personal finance, FastAPI, machine learning, expense forecasting</w:t>
      </w:r>
    </w:p>
    <w:p>
      <w:pPr>
        <w:pStyle w:val="Heading2"/>
        <w:spacing w:after="100" w:before="200"/>
      </w:pPr>
      <w:r>
        <w:t xml:space="preserve">I. INTRODUCTION</w:t>
      </w:r>
    </w:p>
    <w:p>
      <w:pPr>
        <w:spacing w:after="100"/>
        <w:jc w:val="both"/>
      </w:pPr>
      <w:r>
        <w:rPr>
          <w:sz w:val="20"/>
          <w:szCs w:val="20"/>
        </w:rPr>
        <w:t xml:space="preserve">Financial mismanagement often accumulates from many small, unexamined transactions, and fraud frequently first manifests as a statistically unusual transaction. Existing personal finance tools are either simple ledgers with no intelligence layer, or bank-integrated aggregators unsuitable for a self-contained academic project. This work presents a system that applies unsupervised anomaly detection to every transaction at entry time, and separately digitizes paper receipts via OCR, while keeping the human in the loop for both.</w:t>
      </w:r>
    </w:p>
    <w:p>
      <w:pPr>
        <w:pStyle w:val="Heading2"/>
        <w:spacing w:after="100" w:before="200"/>
      </w:pPr>
      <w:r>
        <w:t xml:space="preserve">II. RELATED WORK</w:t>
      </w:r>
    </w:p>
    <w:p>
      <w:pPr>
        <w:spacing w:after="100"/>
        <w:jc w:val="both"/>
      </w:pPr>
      <w:r>
        <w:rPr>
          <w:sz w:val="20"/>
          <w:szCs w:val="20"/>
        </w:rPr>
        <w:t xml:space="preserve">Isolation Forest [1] is a well-established unsupervised method for anomaly detection, chosen here specifically because financial fraud datasets are severely class-imbalanced and rarely available with real labels for an academic setting. Tesseract OCR [3] remains the standard open-source text extraction engine for document/receipt digitization projects given its mature Python bindings and zero licensing cost. Prior fintech applications of LLMs for user-facing advice motivate our use of GPT for savings tips, though we depart from a hard dependency on it by implementing a rule-based fallback.</w:t>
      </w:r>
    </w:p>
    <w:p>
      <w:pPr>
        <w:pStyle w:val="Heading2"/>
        <w:spacing w:after="100" w:before="200"/>
      </w:pPr>
      <w:r>
        <w:t xml:space="preserve">III. SYSTEM ARCHITECTURE</w:t>
      </w:r>
    </w:p>
    <w:p>
      <w:pPr>
        <w:spacing w:after="100"/>
        <w:jc w:val="both"/>
      </w:pPr>
      <w:r>
        <w:rPr>
          <w:sz w:val="20"/>
          <w:szCs w:val="20"/>
        </w:rPr>
        <w:t xml:space="preserve">The system uses a three-tier architecture: a React single-page frontend, a stateless FastAPI backend organized into per-domain routers (auth, transactions, budgets, OCR, ML, AI-advice, admin, reports), and a relational database (SQLite for development; PostgreSQL/MySQL supported for production via a single connection-string environment variable). All state-changing endpoints require JWT bearer authentication; administrative endpoints additionally require an is_admin flag, with the first registered account on a fresh database auto-promoted to admin for demonstration convenience.</w:t>
      </w:r>
    </w:p>
    <w:p>
      <w:pPr>
        <w:pStyle w:val="Heading2"/>
        <w:spacing w:after="100" w:before="200"/>
      </w:pPr>
      <w:r>
        <w:t xml:space="preserve">IV. MACHINE LEARNING COMPONENTS</w:t>
      </w:r>
    </w:p>
    <w:p>
      <w:pPr>
        <w:spacing w:after="100"/>
        <w:jc w:val="both"/>
      </w:pPr>
      <w:r>
        <w:rPr>
          <w:sz w:val="20"/>
          <w:szCs w:val="20"/>
        </w:rPr>
        <w:t xml:space="preserve">A. Fraud Detection. An Isolation Forest model is trained on transaction feature vectors (log-scaled amount, category, time-of-day/day-of-week, and a rolling per-category spend baseline) using a synthetically generated dataset with injected anomalies, since no real labelled fraud data is available for this project. On a held-out synthetic split, the model achieves 0.95 precision and 0.98 recall — figures that validate the training pipeline rather than claim real-world performance.</w:t>
      </w:r>
    </w:p>
    <w:p>
      <w:pPr>
        <w:spacing w:after="100"/>
        <w:jc w:val="both"/>
      </w:pPr>
      <w:r>
        <w:rPr>
          <w:sz w:val="20"/>
          <w:szCs w:val="20"/>
        </w:rPr>
        <w:t xml:space="preserve">B. Expense Forecasting. A linear regression model predicts next-month total spend from trailing 3-month history and category mix. Model complexity was deliberately kept low given the limited per-user data volume typical of a new personal-finance account; the model achieves a Mean Absolute Error of approximately 34.75 currency units on the validation split.</w:t>
      </w:r>
    </w:p>
    <w:p>
      <w:pPr>
        <w:spacing w:after="100"/>
        <w:jc w:val="both"/>
      </w:pPr>
      <w:r>
        <w:rPr>
          <w:sz w:val="20"/>
          <w:szCs w:val="20"/>
        </w:rPr>
        <w:t xml:space="preserve">C. OCR Field Extraction. Rather than a trained NER model, receipt parsing uses Tesseract's raw output combined with regex/heuristic extraction for amount, merchant, and date, plus keyword-based category suggestion. Because OCR accuracy is inherently variable on real-world receipts, every scan result is presented to the user for confirmation before being persisted — an explicit human-in-the-loop design choice rather than a fully autonomous pipeline.</w:t>
      </w:r>
    </w:p>
    <w:p>
      <w:pPr>
        <w:pStyle w:val="Heading2"/>
        <w:spacing w:after="100" w:before="200"/>
      </w:pPr>
      <w:r>
        <w:t xml:space="preserve">V. EVALUATION</w:t>
      </w:r>
    </w:p>
    <w:p>
      <w:pPr>
        <w:spacing w:after="100"/>
        <w:jc w:val="both"/>
      </w:pPr>
      <w:r>
        <w:rPr>
          <w:sz w:val="20"/>
          <w:szCs w:val="20"/>
        </w:rPr>
        <w:t xml:space="preserve">Manual functional testing across ten representative test cases (authentication, rate limiting, fraud flagging, OCR confidence handling, admin authorization, budget tracking, AI-advice fallback, and CSV export) passed in full; details are provided in the accompanying project report. CI automation verifies both services build and import cleanly on every commit.</w:t>
      </w:r>
    </w:p>
    <w:p>
      <w:pPr>
        <w:pStyle w:val="Heading2"/>
        <w:spacing w:after="100" w:before="200"/>
      </w:pPr>
      <w:r>
        <w:t xml:space="preserve">VI. DISCUSSION AND LIMITATIONS</w:t>
      </w:r>
    </w:p>
    <w:p>
      <w:pPr>
        <w:spacing w:after="100"/>
        <w:jc w:val="both"/>
      </w:pPr>
      <w:r>
        <w:rPr>
          <w:sz w:val="20"/>
          <w:szCs w:val="20"/>
        </w:rPr>
        <w:t xml:space="preserve">The principal limitation of this work is evaluation on synthetic rather than real labelled fraud data, a direct consequence of the absence of accessible real-world labelled personal-transaction fraud datasets for academic use. The OCR pipeline's reliance on lightweight heuristics rather than a trained extraction model is a deliberate scope trade-off, mitigated by mandatory user confirmation rather than by claiming higher automated accuracy than is realistic at this project's scale.</w:t>
      </w:r>
    </w:p>
    <w:p>
      <w:pPr>
        <w:pStyle w:val="Heading2"/>
        <w:spacing w:after="100" w:before="200"/>
      </w:pPr>
      <w:r>
        <w:t xml:space="preserve">VII. CONCLUSION AND FUTURE WORK</w:t>
      </w:r>
    </w:p>
    <w:p>
      <w:pPr>
        <w:spacing w:after="100"/>
        <w:jc w:val="both"/>
      </w:pPr>
      <w:r>
        <w:rPr>
          <w:sz w:val="20"/>
          <w:szCs w:val="20"/>
        </w:rPr>
        <w:t xml:space="preserve">This paper presented FinGuard AI, demonstrating that unsupervised anomaly detection and lightweight regression can be meaningfully integrated into a personal finance application without requiring labelled fraud data or heavyweight time-series infrastructure, provided the models are matched to the data actually available. Future work includes evaluation on a real labelled fraud dataset, multi-item receipt parsing, and bank-statement bulk import.</w:t>
      </w:r>
    </w:p>
    <w:p>
      <w:pPr>
        <w:pStyle w:val="Heading2"/>
        <w:spacing w:after="100" w:before="200"/>
      </w:pPr>
      <w:r>
        <w:t xml:space="preserve">REFERENCES</w:t>
      </w:r>
    </w:p>
    <w:p>
      <w:pPr>
        <w:spacing w:after="100"/>
        <w:jc w:val="both"/>
      </w:pPr>
      <w:r>
        <w:rPr>
          <w:sz w:val="20"/>
          <w:szCs w:val="20"/>
        </w:rPr>
        <w:t xml:space="preserve">[1] F. T. Liu, K. M. Ting, and Z.-H. Zhou, "Isolation Forest," in Proc. 2008 Eighth IEEE Int. Conf. on Data Mining, 2008.</w:t>
      </w:r>
    </w:p>
    <w:p>
      <w:pPr>
        <w:spacing w:after="100"/>
        <w:jc w:val="both"/>
      </w:pPr>
      <w:r>
        <w:rPr>
          <w:sz w:val="20"/>
          <w:szCs w:val="20"/>
        </w:rPr>
        <w:t xml:space="preserve">[2] F. Pedregosa et al., "Scikit-learn: Machine Learning in Python," Journal of Machine Learning Research, vol. 12, pp. 2825-2830, 2011.</w:t>
      </w:r>
    </w:p>
    <w:p>
      <w:pPr>
        <w:spacing w:after="100"/>
        <w:jc w:val="both"/>
      </w:pPr>
      <w:r>
        <w:rPr>
          <w:sz w:val="20"/>
          <w:szCs w:val="20"/>
        </w:rPr>
        <w:t xml:space="preserve">[3] R. Smith, "An Overview of the Tesseract OCR Engine," in Proc. Ninth Int. Conf. on Document Analysis and Recognition, 2007.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2026-07-21T10:41:54.181Z</dcterms:created>
  <dcterms:modified xsi:type="dcterms:W3CDTF">2026-07-21T10:41:54.182Z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