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b/>
          <w:bCs/>
          <w:color w:val="1B2430"/>
          <w:sz w:val="44"/>
          <w:szCs w:val="44"/>
        </w:rPr>
        <w:t xml:space="preserve">Software Requirements Specification</w:t>
      </w:r>
    </w:p>
    <w:p>
      <w:pPr>
        <w:spacing w:before="200"/>
        <w:jc w:val="center"/>
      </w:pPr>
      <w:r>
        <w:rPr>
          <w:b/>
          <w:bCs/>
          <w:color w:val="1F6F5C"/>
          <w:sz w:val="60"/>
          <w:szCs w:val="60"/>
        </w:rPr>
        <w:t xml:space="preserve">FinGuard AI</w:t>
      </w:r>
    </w:p>
    <w:p>
      <w:pPr>
        <w:spacing w:before="100"/>
        <w:jc w:val="center"/>
      </w:pPr>
      <w:r>
        <w:rPr>
          <w:i/>
          <w:iCs/>
          <w:color w:val="1B2430"/>
          <w:sz w:val="26"/>
          <w:szCs w:val="26"/>
        </w:rPr>
        <w:t xml:space="preserve">AI-Powered Personal Finance Tracker with Fraud Detection</w:t>
      </w:r>
    </w:p>
    <w:p>
      <w:pPr>
        <w:spacing w:after="1000"/>
      </w:pPr>
    </w:p>
    <w:p>
      <w:pPr>
        <w:jc w:val="center"/>
      </w:pPr>
      <w:r>
        <w:rPr>
          <w:color w:val="1B2430"/>
          <w:sz w:val="22"/>
          <w:szCs w:val="22"/>
        </w:rPr>
        <w:t xml:space="preserve">Prepared as part of the Final Year Project</w:t>
      </w:r>
    </w:p>
    <w:p>
      <w:pPr>
        <w:spacing w:before="100"/>
        <w:jc w:val="center"/>
      </w:pPr>
      <w:r>
        <w:rPr>
          <w:color w:val="1B2430"/>
          <w:sz w:val="22"/>
          <w:szCs w:val="22"/>
        </w:rPr>
        <w:t xml:space="preserve">Document version 1.0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00" w:before="200"/>
      </w:pPr>
      <w:r>
        <w:t xml:space="preserve">1.1 Purpose</w:t>
      </w:r>
    </w:p>
    <w:p>
      <w:pPr>
        <w:spacing w:after="120"/>
      </w:pPr>
      <w:r>
        <w:t xml:space="preserve">This Software Requirements Specification (SRS) describes the functional and non-functional requirements for FinGuard AI, a web-based personal finance management application. It is intended for the project supervisor/examiner, and for the developer as a reference during implementation and testing.</w:t>
      </w:r>
    </w:p>
    <w:p>
      <w:pPr>
        <w:pStyle w:val="Heading2"/>
        <w:spacing w:after="100" w:before="200"/>
      </w:pPr>
      <w:r>
        <w:t xml:space="preserve">1.2 Scope</w:t>
      </w:r>
    </w:p>
    <w:p>
      <w:pPr>
        <w:spacing w:after="120"/>
      </w:pPr>
      <w:r>
        <w:t xml:space="preserve">FinGuard AI allows an individual user to record income and expense transactions, organize spending into categories, set monthly budgets, and receive two forms of intelligent assistance: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fraud/anomaly detection on every transaction, using a trained Isolation Forest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Plain-language savings advice generated either by a GPT model (when an API key is configured) or a deterministic rule-based fallback.</w:t>
      </w:r>
    </w:p>
    <w:p>
      <w:pPr>
        <w:spacing w:after="120"/>
      </w:pPr>
      <w:r>
        <w:t xml:space="preserve">The system additionally provides an OCR-based bill scanner that extracts transaction details from a photographed receipt, an administrative panel for platform oversight, and CSV data export for external Business Intelligence tools such as Power BI.</w:t>
      </w:r>
    </w:p>
    <w:p>
      <w:pPr>
        <w:pStyle w:val="Heading2"/>
        <w:spacing w:after="100" w:before="200"/>
      </w:pPr>
      <w:r>
        <w:t xml:space="preserve">1.3 Intended Audience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examiners/evaluators assessing functional completeness.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developer, as the authoritative reference for what "done" means for each feature.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future contributor extending the system beyond this submission.</w:t>
      </w:r>
    </w:p>
    <w:p>
      <w:pPr>
        <w:pStyle w:val="Heading2"/>
        <w:spacing w:after="100" w:before="200"/>
      </w:pPr>
      <w:r>
        <w:t xml:space="preserve">1.4 Definitions and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513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JSON Web Token — used for stateless session authentication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Optical Character Recognition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Object-Relational Mapping (SQLAlchemy, in this project)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SPA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Single Page Application (the React frontend)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CRUD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Create, Read, Update, Delete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00" w:before="200"/>
      </w:pPr>
      <w:r>
        <w:t xml:space="preserve">2.1 Product Perspective</w:t>
      </w:r>
    </w:p>
    <w:p>
      <w:pPr>
        <w:spacing w:after="120"/>
      </w:pPr>
      <w:r>
        <w:t xml:space="preserve">FinGuard AI is a standalone, self-contained system composed of three independently deployable parts: a React single-page frontend, a FastAPI backend exposing a REST API, and a relational database (SQLite for development, PostgreSQL/MySQL for production). It does not integrate with any existing institutional system; all data originates from the user's own manual entry or receipt uploads.</w:t>
      </w:r>
    </w:p>
    <w:p>
      <w:pPr>
        <w:pStyle w:val="Heading2"/>
        <w:spacing w:after="100" w:before="200"/>
      </w:pPr>
      <w:r>
        <w:t xml:space="preserve">2.2 Product Functions (Summary)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registration and JWT-based 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transaction entry, and OCR-assisted transaction entry from a receipt photo.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Category-wise budgeting with budget-vs-actual comparison.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fraud scoring of every transaction using a trained ML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expense forecasting using a trained regression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AI-generated (or rule-based fallback) savings tips.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Administrative oversight: platform statistics, user management, fraud review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CSV export of transaction data for external reporting/BI tools.</w:t>
      </w:r>
    </w:p>
    <w:p>
      <w:pPr>
        <w:pStyle w:val="Heading2"/>
        <w:spacing w:after="100" w:before="200"/>
      </w:pPr>
      <w:r>
        <w:t xml:space="preserve">2.3 User Classes and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4513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Standard user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Registers an account, logs transactions, views their own dashboard, budgets, and insights. No access to other users' data.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A standard user promoted to admin (the first account on a fresh database is auto-promoted). Can view platform-wide statistics, manage user accounts, and review the fraud queue across all users.</w:t>
            </w:r>
          </w:p>
        </w:tc>
      </w:tr>
    </w:tbl>
    <w:p>
      <w:pPr>
        <w:pStyle w:val="Heading2"/>
        <w:spacing w:after="100" w:before="200"/>
      </w:pPr>
      <w:r>
        <w:t xml:space="preserve">2.4 Operating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Python 3.11, FastAPI, served via Gunicorn + Uvicorn workers, containerized with Docker.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React 18 (Vite build), served as static files via Nginx or a static host (Vercel/Netlify).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SQLite (development) or PostgreSQL/MySQL (production).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Client: any modern evergreen browser (Chrome, Firefox, Edge, Safari) with JavaScript enabled.</w:t>
      </w:r>
    </w:p>
    <w:p>
      <w:pPr>
        <w:pStyle w:val="Heading2"/>
        <w:spacing w:after="100" w:before="200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state-changing endpoints require a valid JWT bearer token, except registration and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 are never stored in plaintext — bcrypt hashing via passlib.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OCR feature requires the Tesseract OCR binary to be present on the host (handled automatically by the provided Docker image).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GPT-based advice is optional; the system must remain fully functional without an OpenAI API key.</w:t>
      </w:r>
    </w:p>
    <w:p>
      <w:pPr>
        <w:pStyle w:val="Heading2"/>
        <w:spacing w:after="100" w:before="200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user has a device with a camera (for OCR) or can upload an existing image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Receipts are reasonably legible; OCR accuracy is not guaranteed on heavily damaged or handwritten receipts, which is why every OCR result is presented for user confirmation before being saved.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Functional Requirements</w:t>
      </w:r>
    </w:p>
    <w:p>
      <w:pPr>
        <w:pStyle w:val="Heading2"/>
        <w:spacing w:after="100" w:before="200"/>
      </w:pPr>
      <w:r>
        <w:t xml:space="preserve">3.1 Authentication (FR-1 to FR-4)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allow a new user to register with full name, email, and password.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reject registration with an email already in use.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FR-3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issue a JWT access token on successful login, valid for 24 hours.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FR-4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rate-limit login attempts to 5 per minute per IP address to mitigate brute-force attacks.</w:t>
            </w:r>
          </w:p>
        </w:tc>
      </w:tr>
    </w:tbl>
    <w:p>
      <w:pPr>
        <w:pStyle w:val="Heading2"/>
        <w:spacing w:after="100" w:before="200"/>
      </w:pPr>
      <w:r>
        <w:t xml:space="preserve">3.2 Transactions (FR-5 to FR-9)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FR-5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allow an authenticated user to create a transaction with amount, category, merchant, description, and date.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FR-6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run every new transaction through the fraud detection model synchronously and store the resulting score.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FR-7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list a user's own transactions only, ordered by date descending.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FR-8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allow a user to delete their own transaction.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FR-9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allow a user to export their own transactions as CSV.</w:t>
            </w:r>
          </w:p>
        </w:tc>
      </w:tr>
    </w:tbl>
    <w:p>
      <w:pPr>
        <w:pStyle w:val="Heading2"/>
        <w:spacing w:after="100" w:before="200"/>
      </w:pPr>
      <w:r>
        <w:t xml:space="preserve">3.3 OCR Bill Scanner (FR-10 to FR-14)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FR-10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accept an uploaded JPEG/PNG/WebP image of a receipt, up to 8MB.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FR-11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extract text from the image using Tesseract OCR after grayscale/contrast preprocessing.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FR-12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parse a candidate amount, merchant name, and date from the extracted text.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FR-13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suggest a spending category based on keyword-matching the merchant name.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FR-14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NOT create a transaction automatically from a scan; it shall return an editable draft for the user to confirm.</w:t>
            </w:r>
          </w:p>
        </w:tc>
      </w:tr>
    </w:tbl>
    <w:p>
      <w:pPr>
        <w:pStyle w:val="Heading2"/>
        <w:spacing w:after="100" w:before="200"/>
      </w:pPr>
      <w:r>
        <w:t xml:space="preserve">3.4 Budgets (FR-15 to FR-17)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FR-15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allow a user to set a monthly spending limit per category.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FR-16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update the existing budget if one already exists for that user/category/month (upsert semantics).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FR-17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report actual spend against the budget limit per category for a given month.</w:t>
            </w:r>
          </w:p>
        </w:tc>
      </w:tr>
    </w:tbl>
    <w:p>
      <w:pPr>
        <w:pStyle w:val="Heading2"/>
        <w:spacing w:after="100" w:before="200"/>
      </w:pPr>
      <w:r>
        <w:t xml:space="preserve">3.5 Fraud Detection (FR-18 to FR-20)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FR-18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score each transaction using a trained Isolation Forest model, falling back to a statistical z-score rule if no trained model is present.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FR-19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flag a transaction as fraudulent/anomalous when the model predicts an anomaly.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FR-20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log every flagged transaction to a fraud log for later review.</w:t>
            </w:r>
          </w:p>
        </w:tc>
      </w:tr>
    </w:tbl>
    <w:p>
      <w:pPr>
        <w:pStyle w:val="Heading2"/>
        <w:spacing w:after="100" w:before="200"/>
      </w:pPr>
      <w:r>
        <w:t xml:space="preserve">3.6 AI Insights (FR-21 to FR-23)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FR-21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forecast next month's total spend using a trained regression model over the last 3 months.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FR-22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generate 3 short savings tips via GPT when an API key is configured.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FR-23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generate 3 rule-based savings tips when no API key is configured, without failing the request.</w:t>
            </w:r>
          </w:p>
        </w:tc>
      </w:tr>
    </w:tbl>
    <w:p>
      <w:pPr>
        <w:pStyle w:val="Heading2"/>
        <w:spacing w:after="100" w:before="200"/>
      </w:pPr>
      <w:r>
        <w:t xml:space="preserve">3.7 Administration (FR-24 to FR-29)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826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FR-24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auto-promote the first registered user on a fresh database to admin.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FR-25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restrict all /admin/* endpoints to users with is_admin = true, returning HTTP 403 otherwise.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FR-26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let an admin view platform-wide statistics (users, transactions, flagged count, volume).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FR-27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let an admin enable/disable a user account and grant/revoke admin rights, except on their own account.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FR-28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let an admin mark a fraud log entry as reviewed.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FR-29</w:t>
            </w:r>
          </w:p>
        </w:tc>
        <w:tc>
          <w:tcPr>
            <w:tcW w:type="dxa" w:w="7826"/>
          </w:tcPr>
          <w:p>
            <w:r>
              <w:rPr>
                <w:sz w:val="20"/>
                <w:szCs w:val="20"/>
              </w:rPr>
              <w:t xml:space="preserve">The system shall let an admin export all users' transactions as CSV.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Non-Functional Requirements</w:t>
      </w:r>
    </w:p>
    <w:p>
      <w:pPr>
        <w:pStyle w:val="Heading2"/>
        <w:spacing w:after="100" w:before="200"/>
      </w:pPr>
      <w:r>
        <w:t xml:space="preserve">4.1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NFR-1: All passwords shall be hashed with bcrypt before storage.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NFR-2: All session tokens shall be signed JWTs with a server-side secret not present in source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NFR-3: The application shall refuse to start in production mode if the JWT secret is left at its default value.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NFR-4: All API responses shall include baseline security headers (X-Content-Type-Options, X-Frame-Options, Referrer-Policy; HSTS in production).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NFR-5: Authentication endpoints shall be rate-limited independently of the global default limit.</w:t>
      </w:r>
    </w:p>
    <w:p>
      <w:pPr>
        <w:pStyle w:val="Heading2"/>
        <w:spacing w:after="100" w:before="200"/>
      </w:pPr>
      <w:r>
        <w:t xml:space="preserve">4.2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NFR-6: A transaction creation request (including synchronous fraud scoring) shall complete in under 500ms on the reference deployment.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NFR-7: The dashboard summary endpoint shall aggregate a user's transaction history in a single query round-trip per metric.</w:t>
      </w:r>
    </w:p>
    <w:p>
      <w:pPr>
        <w:pStyle w:val="Heading2"/>
        <w:spacing w:after="100" w:before="200"/>
      </w:pPr>
      <w:r>
        <w:t xml:space="preserve">4.3 Reliability &amp; Availability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NFR-8: The AI advice feature shall degrade gracefully to a rule-based fallback rather than failing when no OpenAI key is present.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NFR-9: The fraud model shall degrade gracefully to a statistical rule if the trained model file is missing.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NFR-10: All unhandled server exceptions shall return a generic 500 response without leaking stack traces to the client.</w:t>
      </w:r>
    </w:p>
    <w:p>
      <w:pPr>
        <w:pStyle w:val="Heading2"/>
        <w:spacing w:after="100" w:before="200"/>
      </w:pPr>
      <w:r>
        <w:t xml:space="preserve">4.4 Usability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NFR-11: Every OCR scan result shall be presented for user confirmation before being persisted as a transaction.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NFR-12: Money values shall be displayed with a fixed-width numeric font for scannability.</w:t>
      </w:r>
    </w:p>
    <w:p>
      <w:pPr>
        <w:pStyle w:val="Heading2"/>
        <w:spacing w:after="100" w:before="200"/>
      </w:pPr>
      <w:r>
        <w:t xml:space="preserve">4.5 Portability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NFR-13: The backend shall run identically against SQLite, PostgreSQL, or MySQL via a single DATABASE_URL environment variable.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NFR-14: The entire system shall be deployable via Docker Compose with no manual configuration beyond environment variables.</w:t>
      </w:r>
    </w:p>
    <w:p>
      <w:pPr>
        <w:pStyle w:val="Heading2"/>
        <w:spacing w:after="100" w:before="200"/>
      </w:pPr>
      <w:r>
        <w:t xml:space="preserve">4.6 Maintainability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NFR-15: ML inference shall be isolated behind a service module (ml_service.py) so models can be retrained/swapped without touching API route code.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External Interface Requirements</w:t>
      </w:r>
    </w:p>
    <w:p>
      <w:pPr>
        <w:pStyle w:val="Heading2"/>
        <w:spacing w:after="100" w:before="200"/>
      </w:pPr>
      <w:r>
        <w:t xml:space="preserve">5.1 User Interfaces</w:t>
      </w:r>
    </w:p>
    <w:p>
      <w:pPr>
        <w:spacing w:after="120"/>
      </w:pPr>
      <w:r>
        <w:t xml:space="preserve">Login, Register, Dashboard, Budgets, Settings, and Admin screens, implemented as a React SPA. See the User Manual for annotated screens.</w:t>
      </w:r>
    </w:p>
    <w:p>
      <w:pPr>
        <w:pStyle w:val="Heading2"/>
        <w:spacing w:after="100" w:before="200"/>
      </w:pPr>
      <w:r>
        <w:t xml:space="preserve">5.2 API Interfaces</w:t>
      </w:r>
    </w:p>
    <w:p>
      <w:pPr>
        <w:spacing w:after="120"/>
      </w:pPr>
      <w:r>
        <w:t xml:space="preserve">A REST/JSON API documented via auto-generated OpenAPI/Swagger UI at /docs on the backend. See docs/API_Documentation.md for an endpoint summary.</w:t>
      </w:r>
    </w:p>
    <w:p>
      <w:pPr>
        <w:pStyle w:val="Heading2"/>
        <w:spacing w:after="100" w:before="200"/>
      </w:pPr>
      <w:r>
        <w:t xml:space="preserve">5.3 Hardware Interfaces</w:t>
      </w:r>
    </w:p>
    <w:p>
      <w:pPr>
        <w:spacing w:after="120"/>
      </w:pPr>
      <w:r>
        <w:t xml:space="preserve">None directly; the OCR feature relies on the client device's camera or file picker, accessed through the standard browser file input API.</w:t>
      </w:r>
    </w:p>
    <w:p>
      <w:pPr>
        <w:pStyle w:val="Heading2"/>
        <w:spacing w:after="100" w:before="200"/>
      </w:pPr>
      <w:r>
        <w:t xml:space="preserve">5.4 Software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4513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OpenAI Chat Completions API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Optional — generates savings tips when OPENAI_API_KEY is set.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Tesseract OCR (local binary)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Extracts text from uploaded receipt images.</w:t>
            </w:r>
          </w:p>
        </w:tc>
      </w:tr>
      <w:tr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Power BI Web connector</w:t>
            </w:r>
          </w:p>
        </w:tc>
        <w:tc>
          <w:tcPr>
            <w:tcW w:type="dxa" w:w="4513"/>
          </w:tcPr>
          <w:p>
            <w:r>
              <w:rPr>
                <w:sz w:val="20"/>
                <w:szCs w:val="20"/>
              </w:rPr>
              <w:t xml:space="preserve">Consumes the /reports/export/*.csv endpoints for external dashboards.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Appendix</w:t>
      </w:r>
    </w:p>
    <w:p>
      <w:pPr>
        <w:pStyle w:val="Heading2"/>
        <w:spacing w:after="100" w:before="200"/>
      </w:pPr>
      <w:r>
        <w:t xml:space="preserve">6.1 Entity-Relationship Summary</w:t>
      </w:r>
    </w:p>
    <w:p>
      <w:pPr>
        <w:spacing w:after="120"/>
      </w:pPr>
      <w:r>
        <w:t xml:space="preserve">Full ER diagram is provided separately in docs/diagrams/er_diagram.png and reproduced in the Project Report.</w:t>
      </w:r>
    </w:p>
    <w:p>
      <w:pPr>
        <w:pStyle w:val="Heading2"/>
        <w:spacing w:after="100" w:before="200"/>
      </w:pPr>
      <w:r>
        <w:t xml:space="preserve">6.2 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8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8"/>
            <w:shd w:fill="1B243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2026-07-21</w:t>
            </w:r>
          </w:p>
        </w:tc>
        <w:tc>
          <w:tcPr>
            <w:tcW w:type="dxa" w:w="3008"/>
          </w:tcPr>
          <w:p>
            <w:r>
              <w:rPr>
                <w:sz w:val="20"/>
                <w:szCs w:val="20"/>
              </w:rPr>
              <w:t xml:space="preserve">Initial SRS covering all implemented features.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2026-07-21T10:39:12.385Z</dcterms:created>
  <dcterms:modified xsi:type="dcterms:W3CDTF">2026-07-21T10:39:12.385Z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