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Heritage and Culture of the Desert State</w:t>
      </w:r>
    </w:p>
    <w:p>
      <w:r>
        <w:rPr>
          <w:b/>
          <w:i/>
          <w:color w:val="C00000"/>
        </w:rPr>
        <w:t>Rajasthan</w:t>
      </w:r>
      <w:r>
        <w:t xml:space="preserve"> was the old name of the land ruled by Rajput clans. The Aravalli hills divide </w:t>
      </w:r>
      <w:r>
        <w:rPr>
          <w:b/>
          <w:i/>
          <w:color w:val="C00000"/>
        </w:rPr>
        <w:t>Rajasthan</w:t>
      </w:r>
      <w:r>
        <w:t xml:space="preserve"> into a dry west and a greener east, and the culture of </w:t>
      </w:r>
      <w:r>
        <w:rPr>
          <w:b/>
          <w:i/>
          <w:color w:val="C00000"/>
        </w:rPr>
        <w:t>Rajasthan</w:t>
      </w:r>
      <w:r>
        <w:t xml:space="preserve"> still shows this contrast in food, dress and music.</w:t>
      </w:r>
    </w:p>
    <w:p>
      <w:pPr>
        <w:pStyle w:val="Heading2"/>
      </w:pPr>
      <w:bookmarkStart w:id="1" w:name="Forts"/>
      <w:r>
        <w:t>Fort Country</w:t>
      </w:r>
      <w:bookmarkEnd w:id="1"/>
    </w:p>
    <w:p>
      <w:pPr>
        <w:spacing w:before="120" w:after="120" w:lineRule="exact" w:line="360"/>
        <w:ind w:left="1080" w:hanging="1080"/>
      </w:pPr>
      <w:r>
        <w:t>Chittorgarh</w:t>
      </w:r>
      <w:r>
        <w:rPr>
          <w:vertAlign w:val="superscript"/>
        </w:rPr>
        <w:footnoteReference w:id="1"/>
      </w:r>
      <w:r>
        <w:t xml:space="preserve"> is the largest fort in India, while </w:t>
      </w:r>
      <w:hyperlink r:id="rId12">
        <w:r>
          <w:rPr>
            <w:color w:val="0563C1"/>
            <w:u w:val="single"/>
          </w:rPr>
          <w:t>Kumbhalgarh</w:t>
        </w:r>
      </w:hyperlink>
      <w:r>
        <w:t xml:space="preserve"> is famous for a wall that runs for many kilometres over the hills. Rulers built these forts on high ridges so that every approach could be watched, and water tanks inside the walls allowed long sieges to be survived.</w:t>
      </w:r>
    </w:p>
    <w:p>
      <w:r>
        <w:t xml:space="preserve">In </w:t>
      </w:r>
      <w:r>
        <w:rPr>
          <w:b/>
          <w:highlight w:val="cyan"/>
        </w:rPr>
        <w:t>2013</w:t>
      </w:r>
      <w:r>
        <w:t xml:space="preserve"> UNESCO listed </w:t>
      </w:r>
      <w:r>
        <w:rPr>
          <w:b/>
          <w:highlight w:val="cyan"/>
        </w:rPr>
        <w:t>6</w:t>
      </w:r>
      <w:r>
        <w:t xml:space="preserve"> hill forts of the state, built between </w:t>
      </w:r>
      <w:r>
        <w:rPr>
          <w:b/>
          <w:highlight w:val="cyan"/>
        </w:rPr>
        <w:t>1100</w:t>
      </w:r>
      <w:r>
        <w:t xml:space="preserve"> and </w:t>
      </w:r>
      <w:r>
        <w:rPr>
          <w:b/>
          <w:highlight w:val="cyan"/>
        </w:rPr>
        <w:t>1700</w:t>
      </w:r>
      <w:r>
        <w:t xml:space="preserve"> across </w:t>
      </w:r>
      <w:r>
        <w:rPr>
          <w:b/>
          <w:highlight w:val="cyan"/>
        </w:rPr>
        <w:t>5</w:t>
      </w:r>
      <w:r>
        <w:t xml:space="preserve"> districts that cover about </w:t>
      </w:r>
      <w:r>
        <w:rPr>
          <w:b/>
          <w:highlight w:val="cyan"/>
        </w:rPr>
        <w:t>342239</w:t>
      </w:r>
      <w:r>
        <w:t xml:space="preserve"> square kilometres.</w:t>
      </w:r>
    </w:p>
    <w:p>
      <w:pPr>
        <w:pStyle w:val="Heading2"/>
      </w:pPr>
      <w:r>
        <w:t>Lake District</w:t>
      </w:r>
    </w:p>
    <w:p>
      <w:r>
        <w:t>Udaipur is known as the city of lakes. Pichola and Fateh Sagar reflect palaces of white marble, and boat rides at sunset are the favourite pastime of visitors.</w:t>
      </w:r>
    </w:p>
    <w:p>
      <w:pPr>
        <w:sectPr>
          <w:headerReference w:type="first" r:id="rId9"/>
          <w:headerReference w:type="default" r:id="rId10"/>
          <w:footerReference w:type="default" r:id="rId11"/>
          <w:footnotePr>
            <w:numFmt w:val="lowerRoman"/>
            <w:numStart w:val="3"/>
          </w:footnotePr>
          <w:pgSz w:w="12240" w:h="15840"/>
          <w:pgMar w:top="1440" w:right="1080" w:bottom="1440" w:left="1800" w:header="720" w:footer="720" w:gutter="432"/>
          <w:cols w:space="720"/>
          <w:titlePg/>
          <w:docGrid w:linePitch="360"/>
        </w:sectPr>
      </w:pPr>
    </w:p>
    <w:p>
      <w:pPr>
        <w:pStyle w:val="Heading2"/>
      </w:pPr>
      <w:r>
        <w:t>Fair Season</w:t>
      </w:r>
    </w:p>
    <w:p>
      <w:r>
        <w:t>Pushkar Fair, Teej and Gangaur fill the calendar from autumn to spring. Camel races, folk dances and colourful turbans attract travellers, and every village prepares special sweets for the guests.</w:t>
      </w:r>
    </w:p>
    <w:p>
      <w:pPr>
        <w:sectPr>
          <w:footnotePr>
            <w:numFmt w:val="lowerRoman"/>
            <w:numStart w:val="3"/>
          </w:footnotePr>
          <w:pgSz w:w="15840" w:h="12240" w:orient="landscape"/>
          <w:pgMar w:top="1440" w:right="1080" w:bottom="1440" w:left="1800" w:header="720" w:footer="720" w:gutter="432"/>
          <w:cols w:num="2" w:space="720" w:sep="1"/>
          <w:docGrid w:linePitch="360"/>
        </w:sectPr>
      </w:pPr>
    </w:p>
    <w:tbl>
      <w:tblPr>
        <w:tblStyle w:val="TableGrid"/>
        <w:tblW w:type="auto" w:w="0"/>
        <w:tblLook w:firstColumn="1" w:firstRow="1" w:lastColumn="0" w:lastRow="0" w:noHBand="0" w:noVBand="1" w:val="04A0"/>
        <w:tblBorders>
          <w:top w:val="double" w:sz="12" w:space="0" w:color="auto"/>
          <w:left w:val="double" w:sz="12" w:space="0" w:color="auto"/>
          <w:bottom w:val="double" w:sz="12" w:space="0" w:color="auto"/>
          <w:right w:val="double" w:sz="12" w:space="0" w:color="auto"/>
        </w:tblBorders>
      </w:tblPr>
      <w:tblGrid>
        <w:gridCol w:w="3120"/>
        <w:gridCol w:w="3120"/>
        <w:gridCol w:w="3120"/>
      </w:tblGrid>
      <w:tr>
        <w:tc>
          <w:tcPr>
            <w:tcW w:type="dxa" w:w="9360"/>
            <w:gridSpan w:val="3"/>
          </w:tcPr>
          <w:p>
            <w:r>
              <w:t>Famous Forts</w:t>
            </w:r>
          </w:p>
        </w:tc>
      </w:tr>
      <w:tr>
        <w:trPr>
          <w:tblHeader/>
        </w:trPr>
        <w:tc>
          <w:tcPr>
            <w:tcW w:type="dxa" w:w="3120"/>
          </w:tcPr>
          <w:p>
            <w:r>
              <w:t>Fort</w:t>
            </w:r>
          </w:p>
        </w:tc>
        <w:tc>
          <w:tcPr>
            <w:tcW w:type="dxa" w:w="3120"/>
          </w:tcPr>
          <w:p>
            <w:r>
              <w:t>District</w:t>
            </w:r>
          </w:p>
        </w:tc>
        <w:tc>
          <w:tcPr>
            <w:tcW w:type="dxa" w:w="3120"/>
          </w:tcPr>
          <w:p>
            <w:pPr>
              <w:jc w:val="right"/>
            </w:pPr>
            <w:r>
              <w:t>Built</w:t>
            </w:r>
          </w:p>
        </w:tc>
      </w:tr>
      <w:tr>
        <w:tc>
          <w:tcPr>
            <w:tcW w:type="dxa" w:w="3120"/>
          </w:tcPr>
          <w:p>
            <w:r>
              <w:t>Chittorgarh</w:t>
            </w:r>
          </w:p>
        </w:tc>
        <w:tc>
          <w:tcPr>
            <w:tcW w:type="dxa" w:w="3120"/>
          </w:tcPr>
          <w:p>
            <w:r>
              <w:t>Chittorgarh</w:t>
            </w:r>
          </w:p>
        </w:tc>
        <w:tc>
          <w:tcPr>
            <w:tcW w:type="dxa" w:w="3120"/>
          </w:tcPr>
          <w:p>
            <w:pPr>
              <w:jc w:val="right"/>
            </w:pPr>
            <w:r>
              <w:t>7th century</w:t>
            </w:r>
          </w:p>
        </w:tc>
      </w:tr>
      <w:tr>
        <w:tc>
          <w:tcPr>
            <w:tcW w:type="dxa" w:w="3120"/>
          </w:tcPr>
          <w:p>
            <w:r>
              <w:t>Kumbhalgarh</w:t>
            </w:r>
          </w:p>
        </w:tc>
        <w:tc>
          <w:tcPr>
            <w:tcW w:type="dxa" w:w="3120"/>
          </w:tcPr>
          <w:p>
            <w:r>
              <w:t>Rajsamand</w:t>
            </w:r>
          </w:p>
        </w:tc>
        <w:tc>
          <w:tcPr>
            <w:tcW w:type="dxa" w:w="3120"/>
          </w:tcPr>
          <w:p>
            <w:pPr>
              <w:jc w:val="right"/>
            </w:pPr>
            <w:r>
              <w:t>15th century</w:t>
            </w:r>
          </w:p>
        </w:tc>
      </w:tr>
      <w:tr>
        <w:tc>
          <w:tcPr>
            <w:tcW w:type="dxa" w:w="3120"/>
          </w:tcPr>
          <w:p>
            <w:r>
              <w:t>Ranthambore</w:t>
            </w:r>
          </w:p>
        </w:tc>
        <w:tc>
          <w:tcPr>
            <w:tcW w:type="dxa" w:w="3120"/>
          </w:tcPr>
          <w:p>
            <w:r>
              <w:t>Sawai Madhopur</w:t>
            </w:r>
          </w:p>
        </w:tc>
        <w:tc>
          <w:tcPr>
            <w:tcW w:type="dxa" w:w="3120"/>
          </w:tcPr>
          <w:p>
            <w:pPr>
              <w:jc w:val="right"/>
            </w:pPr>
            <w:r>
              <w:t>10th century</w:t>
            </w:r>
          </w:p>
        </w:tc>
      </w:tr>
    </w:tbl>
    <w:p>
      <w:r>
        <w:t xml:space="preserve">The customs of </w:t>
      </w:r>
      <w:r>
        <w:rPr>
          <w:b/>
          <w:i/>
          <w:color w:val="C00000"/>
        </w:rPr>
        <w:t>Rajasthan</w:t>
      </w:r>
      <w:r>
        <w:t xml:space="preserve"> are changing, but the pride of its people remains the same.</w:t>
      </w:r>
    </w:p>
    <w:sectPr w:rsidR="00FC693F" w:rsidRPr="0006063C" w:rsidSect="00034616">
      <w:footnotePr>
        <w:numFmt w:val="lowerRoman"/>
        <w:numStart w:val="3"/>
      </w:footnotePr>
      <w:pgSz w:w="12240" w:h="15840"/>
      <w:pgMar w:top="1440" w:right="1080" w:bottom="1440" w:left="1800" w:header="720" w:footer="720" w:gutter="432"/>
      <w:cols w:num="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 PAGE ">
      <w:r>
        <w:t xml:space="preserve">1</w:t>
      </w:r>
    </w:fldSimple>
    <w:r>
      <w:t xml:space="preserve"> of </w:t>
    </w:r>
    <w:fldSimple w:instr=" NUMPAGES ">
      <w:r>
        <w:t xml:space="preserve">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r>
        <w:rPr>
          <w:vertAlign w:val="superscript"/>
        </w:rPr>
        <w:footnoteRef/>
      </w:r>
      <w:r>
        <w:t xml:space="preserve"> UNESCO World Heritage Site since 2013.</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Heritage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AK Efficiency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mirrorMargin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yperlink" Target="https://www.rajasthan.gov.in" TargetMode="External"/><Relationship Id="rId90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