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2">
      <w:pPr>
        <w:jc w:val="both"/>
        <w:rPr>
          <w:sz w:val="20"/>
          <w:szCs w:val="20"/>
        </w:rPr>
      </w:pPr>
      <w:r w:rsidDel="00000000" w:rsidR="00000000" w:rsidRPr="00000000">
        <w:rPr>
          <w:sz w:val="20"/>
          <w:szCs w:val="20"/>
          <w:rtl w:val="0"/>
        </w:rPr>
        <w:t xml:space="preserve">The project includes the analysis of an interactive dashboard to evaluate the marketing expenses of 24.89 million $, with 78 customers and 1000 campaigns over 13 months. The dashboard visualizes the most important key performance indicators (KPIs) - expenses, views, likes with correlated ratio, clicks with click-through rate as well as the conversion rate including CAC (customer acquisition cost), CPV (customer per view), CPL (customer per like) CPC (customer per click)</w:t>
      </w:r>
    </w:p>
    <w:p w:rsidR="00000000" w:rsidDel="00000000" w:rsidP="00000000" w:rsidRDefault="00000000" w:rsidRPr="00000000" w14:paraId="00000003">
      <w:pPr>
        <w:jc w:val="both"/>
        <w:rPr>
          <w:sz w:val="20"/>
          <w:szCs w:val="20"/>
        </w:rPr>
      </w:pPr>
      <w:r w:rsidDel="00000000" w:rsidR="00000000" w:rsidRPr="00000000">
        <w:rPr>
          <w:sz w:val="20"/>
          <w:szCs w:val="20"/>
          <w:rtl w:val="0"/>
        </w:rPr>
        <w:t xml:space="preserve">This enables detailed segmentation through filter options by date, channels, campaigns, gender and age groups. The goal is to analyze the performance metrics and identify data-based optimization recommendations for the cost-performance ratio.</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rPr>
      </w:pPr>
      <w:r w:rsidDel="00000000" w:rsidR="00000000" w:rsidRPr="00000000">
        <w:rPr>
          <w:b w:val="1"/>
          <w:rtl w:val="0"/>
        </w:rPr>
        <w:t xml:space="preserve">1. KPI Expense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The total expense of 24,893,187 dollars over a period of 13 months shows the total investment in customer acquisition.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The resulting Customer Acquisition Cost (CAC) of 319,143 dollars per new customer shows the significant investment required to acquire a single customer. This figure puts the total spending in relation to the number of customers actually acquired.</w:t>
      </w:r>
    </w:p>
    <w:p w:rsidR="00000000" w:rsidDel="00000000" w:rsidP="00000000" w:rsidRDefault="00000000" w:rsidRPr="00000000" w14:paraId="00000007">
      <w:pPr>
        <w:spacing w:after="240" w:before="240" w:lineRule="auto"/>
        <w:ind w:left="0" w:firstLine="0"/>
        <w:rPr>
          <w:b w:val="1"/>
        </w:rPr>
      </w:pPr>
      <w:r w:rsidDel="00000000" w:rsidR="00000000" w:rsidRPr="00000000">
        <w:rPr>
          <w:b w:val="1"/>
          <w:rtl w:val="0"/>
        </w:rPr>
        <w:t xml:space="preserve">2. KPI Views</w:t>
      </w:r>
    </w:p>
    <w:p w:rsidR="00000000" w:rsidDel="00000000" w:rsidP="00000000" w:rsidRDefault="00000000" w:rsidRPr="00000000" w14:paraId="00000008">
      <w:pPr>
        <w:jc w:val="both"/>
        <w:rPr>
          <w:sz w:val="20"/>
          <w:szCs w:val="20"/>
        </w:rPr>
      </w:pPr>
      <w:r w:rsidDel="00000000" w:rsidR="00000000" w:rsidRPr="00000000">
        <w:rPr>
          <w:sz w:val="20"/>
          <w:szCs w:val="20"/>
          <w:rtl w:val="0"/>
        </w:rPr>
        <w:t xml:space="preserve">The reach of over 50 million contacts shows the significant potential of the target group approach and illustrates the scaling of the marketing activities (ads, videos or advertised content)</w:t>
      </w:r>
    </w:p>
    <w:p w:rsidR="00000000" w:rsidDel="00000000" w:rsidP="00000000" w:rsidRDefault="00000000" w:rsidRPr="00000000" w14:paraId="00000009">
      <w:pPr>
        <w:jc w:val="both"/>
        <w:rPr>
          <w:sz w:val="20"/>
          <w:szCs w:val="20"/>
        </w:rPr>
      </w:pPr>
      <w:r w:rsidDel="00000000" w:rsidR="00000000" w:rsidRPr="00000000">
        <w:rPr>
          <w:sz w:val="20"/>
          <w:szCs w:val="20"/>
          <w:rtl w:val="0"/>
        </w:rPr>
        <w:t xml:space="preserve">The CPV of 0.49 dollars reflects the efficiency of the expenses. This key figure shows that 49 cents were invested for each individual view of the ad.</w:t>
      </w:r>
    </w:p>
    <w:p w:rsidR="00000000" w:rsidDel="00000000" w:rsidP="00000000" w:rsidRDefault="00000000" w:rsidRPr="00000000" w14:paraId="0000000A">
      <w:pPr>
        <w:jc w:val="both"/>
        <w:rPr>
          <w:sz w:val="20"/>
          <w:szCs w:val="20"/>
        </w:rPr>
      </w:pPr>
      <w:r w:rsidDel="00000000" w:rsidR="00000000" w:rsidRPr="00000000">
        <w:rPr>
          <w:sz w:val="20"/>
          <w:szCs w:val="20"/>
          <w:rtl w:val="0"/>
        </w:rPr>
        <w:t xml:space="preserve">The combination of high reach and moderate costs per view indicates a well-scaled campaign.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 KPI Likes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The campaigns generated an excellent response with 5,049,324 likes. The high number of likes shows a strong interaction of the target group with the advertising content </w:t>
      </w:r>
    </w:p>
    <w:p w:rsidR="00000000" w:rsidDel="00000000" w:rsidP="00000000" w:rsidRDefault="00000000" w:rsidRPr="00000000" w14:paraId="0000000F">
      <w:pPr>
        <w:jc w:val="both"/>
        <w:rPr>
          <w:sz w:val="20"/>
          <w:szCs w:val="20"/>
        </w:rPr>
      </w:pPr>
      <w:r w:rsidDel="00000000" w:rsidR="00000000" w:rsidRPr="00000000">
        <w:rPr>
          <w:sz w:val="20"/>
          <w:szCs w:val="20"/>
          <w:rtl w:val="0"/>
        </w:rPr>
        <w:t xml:space="preserve">The like rate of 10.02% results from the ratio of 5,049,324 likes to 50,404,108 views and means that for every 100 people who see an ad, around 10 will give it a like. An engagement rate of over 10 percent is very high, as normal values are between 1 and 3 percent.</w:t>
      </w:r>
    </w:p>
    <w:p w:rsidR="00000000" w:rsidDel="00000000" w:rsidP="00000000" w:rsidRDefault="00000000" w:rsidRPr="00000000" w14:paraId="00000010">
      <w:pPr>
        <w:jc w:val="both"/>
        <w:rPr>
          <w:sz w:val="20"/>
          <w:szCs w:val="20"/>
        </w:rPr>
      </w:pPr>
      <w:r w:rsidDel="00000000" w:rsidR="00000000" w:rsidRPr="00000000">
        <w:rPr>
          <w:sz w:val="20"/>
          <w:szCs w:val="20"/>
          <w:rtl w:val="0"/>
        </w:rPr>
        <w:t xml:space="preserve">The average cost of around 5 dollars per Like is acceptable in view of the high engagement rate.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4. KPI Clicks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14">
      <w:pPr>
        <w:jc w:val="both"/>
        <w:rPr>
          <w:sz w:val="20"/>
          <w:szCs w:val="20"/>
        </w:rPr>
      </w:pPr>
      <w:r w:rsidDel="00000000" w:rsidR="00000000" w:rsidRPr="00000000">
        <w:rPr>
          <w:sz w:val="20"/>
          <w:szCs w:val="20"/>
          <w:rtl w:val="0"/>
        </w:rPr>
        <w:t xml:space="preserve">These more than 2.6 million clicks on the ads show the specific interest of users who responded to the advertising content. The high number of clicks shows that the target group is interested in the product.</w:t>
      </w:r>
    </w:p>
    <w:p w:rsidR="00000000" w:rsidDel="00000000" w:rsidP="00000000" w:rsidRDefault="00000000" w:rsidRPr="00000000" w14:paraId="00000015">
      <w:pPr>
        <w:jc w:val="both"/>
        <w:rPr>
          <w:sz w:val="20"/>
          <w:szCs w:val="20"/>
        </w:rPr>
      </w:pPr>
      <w:r w:rsidDel="00000000" w:rsidR="00000000" w:rsidRPr="00000000">
        <w:rPr>
          <w:sz w:val="20"/>
          <w:szCs w:val="20"/>
          <w:rtl w:val="0"/>
        </w:rPr>
        <w:t xml:space="preserve">The click-through rate of 5.17 percent represents a high value. This CTR results from the ratio of 2,606,521 clicks to 50,404,108 views and means that for every 100 people who see an ad, around 5 click on it. </w:t>
      </w:r>
    </w:p>
    <w:p w:rsidR="00000000" w:rsidDel="00000000" w:rsidP="00000000" w:rsidRDefault="00000000" w:rsidRPr="00000000" w14:paraId="00000016">
      <w:pPr>
        <w:jc w:val="both"/>
        <w:rPr>
          <w:b w:val="1"/>
          <w:color w:val="1155cc"/>
          <w:sz w:val="20"/>
          <w:szCs w:val="20"/>
          <w:u w:val="single"/>
        </w:rPr>
      </w:pPr>
      <w:r w:rsidDel="00000000" w:rsidR="00000000" w:rsidRPr="00000000">
        <w:rPr>
          <w:sz w:val="20"/>
          <w:szCs w:val="20"/>
          <w:rtl w:val="0"/>
        </w:rPr>
        <w:t xml:space="preserve">The cost per click of 9.55 dollars shows the investment for each individual click on the ads. </w:t>
      </w:r>
      <w:r w:rsidDel="00000000" w:rsidR="00000000" w:rsidRPr="00000000">
        <w:rPr>
          <w:rtl w:val="0"/>
        </w:rPr>
      </w:r>
    </w:p>
    <w:p w:rsidR="00000000" w:rsidDel="00000000" w:rsidP="00000000" w:rsidRDefault="00000000" w:rsidRPr="00000000" w14:paraId="00000017">
      <w:pPr>
        <w:spacing w:after="240" w:before="240" w:lineRule="auto"/>
        <w:ind w:left="0" w:firstLine="0"/>
        <w:rPr>
          <w:b w:val="1"/>
        </w:rPr>
      </w:pPr>
      <w:r w:rsidDel="00000000" w:rsidR="00000000" w:rsidRPr="00000000">
        <w:rPr>
          <w:b w:val="1"/>
          <w:rtl w:val="0"/>
        </w:rPr>
        <w:t xml:space="preserve">5. KPI Conversion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With a conversion rate of 1.01%, 510 conversions were generated. With customer acquisition costs of 118$ per new customer</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b w:val="1"/>
          <w:sz w:val="22"/>
          <w:szCs w:val="22"/>
          <w:rtl w:val="0"/>
        </w:rPr>
        <w:t xml:space="preserve">Summary: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both"/>
        <w:rPr>
          <w:sz w:val="20"/>
          <w:szCs w:val="20"/>
        </w:rPr>
      </w:pPr>
      <w:r w:rsidDel="00000000" w:rsidR="00000000" w:rsidRPr="00000000">
        <w:rPr>
          <w:sz w:val="20"/>
          <w:szCs w:val="20"/>
          <w:rtl w:val="0"/>
        </w:rPr>
        <w:t xml:space="preserve">The analysis shows both strengths and potential for improvement. While the high engagement rates (like rate 10.02%, CTR 5.17%) indicate high-quality content and a well addressed target group, the low conversion rate of 1.01% shows a need for optimization in the conversion funnel. The data cleansing and standardization carried out forms the basis for data-driven decisions and efficient marketing strategies. The combination of technical improvements and effective processes ensures long-term data quality, which is directly reflected in improved campaign results and a higher return on investment (ROI). The dashboard provides a solid foundation for data-driven marketing decisions and enables continuous optimization of campaign performance.</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Recommendation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1. Data cleansing &amp; Checking</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jc w:val="both"/>
        <w:rPr>
          <w:sz w:val="20"/>
          <w:szCs w:val="20"/>
        </w:rPr>
      </w:pPr>
      <w:r w:rsidDel="00000000" w:rsidR="00000000" w:rsidRPr="00000000">
        <w:rPr>
          <w:rtl w:val="0"/>
        </w:rPr>
        <w:t xml:space="preserve"> </w:t>
      </w:r>
      <w:r w:rsidDel="00000000" w:rsidR="00000000" w:rsidRPr="00000000">
        <w:rPr>
          <w:sz w:val="20"/>
          <w:szCs w:val="20"/>
          <w:rtl w:val="0"/>
        </w:rPr>
        <w:t xml:space="preserve">  - Telephone numbers, standardization of formatting (international standards)</w:t>
      </w:r>
    </w:p>
    <w:p w:rsidR="00000000" w:rsidDel="00000000" w:rsidP="00000000" w:rsidRDefault="00000000" w:rsidRPr="00000000" w14:paraId="00000024">
      <w:pPr>
        <w:jc w:val="both"/>
        <w:rPr>
          <w:sz w:val="20"/>
          <w:szCs w:val="20"/>
        </w:rPr>
      </w:pPr>
      <w:r w:rsidDel="00000000" w:rsidR="00000000" w:rsidRPr="00000000">
        <w:rPr>
          <w:sz w:val="20"/>
          <w:szCs w:val="20"/>
          <w:rtl w:val="0"/>
        </w:rPr>
        <w:t xml:space="preserve">   - Gender, standardization of input formats (M/W/D)</w:t>
      </w:r>
    </w:p>
    <w:p w:rsidR="00000000" w:rsidDel="00000000" w:rsidP="00000000" w:rsidRDefault="00000000" w:rsidRPr="00000000" w14:paraId="00000025">
      <w:pPr>
        <w:ind w:left="0" w:firstLine="0"/>
        <w:jc w:val="both"/>
        <w:rPr>
          <w:sz w:val="20"/>
          <w:szCs w:val="20"/>
        </w:rPr>
      </w:pPr>
      <w:r w:rsidDel="00000000" w:rsidR="00000000" w:rsidRPr="00000000">
        <w:rPr>
          <w:sz w:val="20"/>
          <w:szCs w:val="20"/>
          <w:rtl w:val="0"/>
        </w:rPr>
        <w:t xml:space="preserve">   - Automatic assignment based on dates of birth to ensure consistent groupings for   analyses</w:t>
      </w:r>
    </w:p>
    <w:p w:rsidR="00000000" w:rsidDel="00000000" w:rsidP="00000000" w:rsidRDefault="00000000" w:rsidRPr="00000000" w14:paraId="00000026">
      <w:pPr>
        <w:jc w:val="both"/>
        <w:rPr>
          <w:sz w:val="20"/>
          <w:szCs w:val="20"/>
        </w:rPr>
      </w:pPr>
      <w:r w:rsidDel="00000000" w:rsidR="00000000" w:rsidRPr="00000000">
        <w:rPr>
          <w:sz w:val="20"/>
          <w:szCs w:val="20"/>
          <w:rtl w:val="0"/>
        </w:rPr>
        <w:t xml:space="preserve">   - Validation of mandatory fields and data formats with automated error checking</w:t>
      </w:r>
    </w:p>
    <w:p w:rsidR="00000000" w:rsidDel="00000000" w:rsidP="00000000" w:rsidRDefault="00000000" w:rsidRPr="00000000" w14:paraId="00000027">
      <w:pPr>
        <w:jc w:val="both"/>
        <w:rPr>
          <w:sz w:val="20"/>
          <w:szCs w:val="20"/>
        </w:rPr>
      </w:pPr>
      <w:r w:rsidDel="00000000" w:rsidR="00000000" w:rsidRPr="00000000">
        <w:rPr>
          <w:sz w:val="20"/>
          <w:szCs w:val="20"/>
          <w:rtl w:val="0"/>
        </w:rPr>
        <w:t xml:space="preserve">   - Documentation of standards and processes with data quality checks and training for data entry</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 Decision support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both"/>
        <w:rPr>
          <w:sz w:val="20"/>
          <w:szCs w:val="20"/>
        </w:rPr>
      </w:pPr>
      <w:r w:rsidDel="00000000" w:rsidR="00000000" w:rsidRPr="00000000">
        <w:rPr>
          <w:rtl w:val="0"/>
        </w:rPr>
        <w:t xml:space="preserve">   </w:t>
      </w:r>
      <w:r w:rsidDel="00000000" w:rsidR="00000000" w:rsidRPr="00000000">
        <w:rPr>
          <w:sz w:val="20"/>
          <w:szCs w:val="20"/>
          <w:rtl w:val="0"/>
        </w:rPr>
        <w:t xml:space="preserve">- Optimization of landing pages and the conversion process to increase the conversion rate</w:t>
      </w:r>
    </w:p>
    <w:p w:rsidR="00000000" w:rsidDel="00000000" w:rsidP="00000000" w:rsidRDefault="00000000" w:rsidRPr="00000000" w14:paraId="0000002C">
      <w:pPr>
        <w:jc w:val="both"/>
        <w:rPr>
          <w:sz w:val="20"/>
          <w:szCs w:val="20"/>
        </w:rPr>
      </w:pPr>
      <w:r w:rsidDel="00000000" w:rsidR="00000000" w:rsidRPr="00000000">
        <w:rPr>
          <w:sz w:val="20"/>
          <w:szCs w:val="20"/>
          <w:rtl w:val="0"/>
        </w:rPr>
        <w:t xml:space="preserve">   - A/B testing of various call-to-actions and landing pages</w:t>
      </w:r>
    </w:p>
    <w:p w:rsidR="00000000" w:rsidDel="00000000" w:rsidP="00000000" w:rsidRDefault="00000000" w:rsidRPr="00000000" w14:paraId="0000002D">
      <w:pPr>
        <w:jc w:val="both"/>
        <w:rPr>
          <w:sz w:val="20"/>
          <w:szCs w:val="20"/>
        </w:rPr>
      </w:pPr>
      <w:r w:rsidDel="00000000" w:rsidR="00000000" w:rsidRPr="00000000">
        <w:rPr>
          <w:sz w:val="20"/>
          <w:szCs w:val="20"/>
          <w:rtl w:val="0"/>
        </w:rPr>
        <w:t xml:space="preserve">   - In-depth analysis of the most successful campaigns to scale best practices</w:t>
      </w:r>
    </w:p>
    <w:p w:rsidR="00000000" w:rsidDel="00000000" w:rsidP="00000000" w:rsidRDefault="00000000" w:rsidRPr="00000000" w14:paraId="0000002E">
      <w:pPr>
        <w:jc w:val="both"/>
        <w:rPr>
          <w:sz w:val="20"/>
          <w:szCs w:val="20"/>
        </w:rPr>
      </w:pPr>
      <w:r w:rsidDel="00000000" w:rsidR="00000000" w:rsidRPr="00000000">
        <w:rPr>
          <w:sz w:val="20"/>
          <w:szCs w:val="20"/>
          <w:rtl w:val="0"/>
        </w:rPr>
        <w:t xml:space="preserve">   - Review of target group segmentation for even more precise targeting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sz w:val="20"/>
          <w:szCs w:val="20"/>
        </w:rPr>
      </w:pPr>
      <w:r w:rsidDel="00000000" w:rsidR="00000000" w:rsidRPr="00000000">
        <w:rPr>
          <w:b w:val="1"/>
          <w:sz w:val="20"/>
          <w:szCs w:val="20"/>
          <w:rtl w:val="0"/>
        </w:rPr>
        <w:t xml:space="preserve">3. Early detection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jc w:val="both"/>
        <w:rPr>
          <w:sz w:val="20"/>
          <w:szCs w:val="20"/>
        </w:rPr>
      </w:pPr>
      <w:r w:rsidDel="00000000" w:rsidR="00000000" w:rsidRPr="00000000">
        <w:rPr>
          <w:rtl w:val="0"/>
        </w:rPr>
        <w:t xml:space="preserve">   </w:t>
      </w:r>
      <w:r w:rsidDel="00000000" w:rsidR="00000000" w:rsidRPr="00000000">
        <w:rPr>
          <w:sz w:val="20"/>
          <w:szCs w:val="20"/>
          <w:rtl w:val="0"/>
        </w:rPr>
        <w:t xml:space="preserve">- Identifying best practices for future campaigns</w:t>
      </w:r>
    </w:p>
    <w:p w:rsidR="00000000" w:rsidDel="00000000" w:rsidP="00000000" w:rsidRDefault="00000000" w:rsidRPr="00000000" w14:paraId="00000033">
      <w:pPr>
        <w:jc w:val="both"/>
        <w:rPr>
          <w:sz w:val="20"/>
          <w:szCs w:val="20"/>
        </w:rPr>
      </w:pPr>
      <w:r w:rsidDel="00000000" w:rsidR="00000000" w:rsidRPr="00000000">
        <w:rPr>
          <w:sz w:val="20"/>
          <w:szCs w:val="20"/>
          <w:rtl w:val="0"/>
        </w:rPr>
        <w:t xml:space="preserve">   - Analysis of demographic-specific behavioural patterns</w:t>
      </w:r>
    </w:p>
    <w:p w:rsidR="00000000" w:rsidDel="00000000" w:rsidP="00000000" w:rsidRDefault="00000000" w:rsidRPr="00000000" w14:paraId="00000034">
      <w:pPr>
        <w:jc w:val="both"/>
        <w:rPr>
          <w:sz w:val="20"/>
          <w:szCs w:val="20"/>
        </w:rPr>
      </w:pPr>
      <w:r w:rsidDel="00000000" w:rsidR="00000000" w:rsidRPr="00000000">
        <w:rPr>
          <w:sz w:val="20"/>
          <w:szCs w:val="20"/>
          <w:rtl w:val="0"/>
        </w:rPr>
        <w:t xml:space="preserve">   - Optimization of campaign planning by target group</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