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bottom w:val="single" w:sz="4" w:space="1" w:color="CACACA" w:themeColor="dark1" w:themeTint="40"/>
        </w:pBdr>
        <w:spacing w:before="100" w:after="200"/>
        <w:contextualSpacing/>
        <w:rPr>
          <w:rFonts w:ascii="Calibri" w:hAnsi="Calibri" w:cs="Calibri"/>
          <w:b/>
          <w:bCs/>
          <w:sz w:val="22"/>
          <w:szCs w:val="22"/>
          <w:lang w:eastAsia="en-US"/>
        </w:rPr>
      </w:pPr>
      <w:r>
        <w:rPr>
          <w:rFonts w:cs="Calibri" w:ascii="Calibri" w:hAnsi="Calibri"/>
          <w:b/>
          <w:bCs/>
          <w:sz w:val="22"/>
          <w:szCs w:val="22"/>
          <w:lang w:eastAsia="en-US"/>
        </w:rPr>
        <w:t>Fund Name</w:t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2240" w:h="15840"/>
          <w:pgMar w:left="720" w:right="720" w:gutter="0" w:header="0" w:top="720" w:footer="720" w:bottom="777"/>
          <w:pgNumType w:fmt="decimal"/>
          <w:formProt w:val="false"/>
          <w:textDirection w:val="lrTb"/>
          <w:docGrid w:type="default" w:linePitch="272" w:charSpace="8192"/>
        </w:sectPr>
      </w:pPr>
    </w:p>
    <w:p>
      <w:pPr>
        <w:pStyle w:val="Normal"/>
        <w:spacing w:before="100" w:after="200"/>
        <w:contextualSpacing/>
        <w:rPr>
          <w:rFonts w:ascii="Calibri" w:hAnsi="Calibri" w:cs="Calibri"/>
        </w:rPr>
      </w:pPr>
      <w:r>
        <w:rPr>
          <w:rFonts w:cs="Calibri" w:ascii="Calibri" w:hAnsi="Calibri"/>
        </w:rPr>
        <w:t>Founded:</w:t>
        <w:tab/>
        <w:tab/>
        <w:t>[Year]</w:t>
        <w:tab/>
        <w:tab/>
        <w:tab/>
        <w:tab/>
        <w:t xml:space="preserve">[City, State] </w:t>
      </w:r>
    </w:p>
    <w:p>
      <w:pPr>
        <w:pStyle w:val="Normal"/>
        <w:spacing w:before="100" w:after="200"/>
        <w:contextualSpacing/>
        <w:rPr>
          <w:rFonts w:ascii="Calibri" w:hAnsi="Calibri" w:cs="Calibri"/>
        </w:rPr>
      </w:pPr>
      <w:r>
        <mc:AlternateContent>
          <mc:Choice Requires="wps">
            <w:drawing>
              <wp:anchor behindDoc="0" distT="5080" distB="5080" distL="5080" distR="5080" simplePos="0" locked="0" layoutInCell="1" allowOverlap="1" relativeHeight="2" wp14:anchorId="3E41A4FD">
                <wp:simplePos x="0" y="0"/>
                <wp:positionH relativeFrom="column">
                  <wp:posOffset>0</wp:posOffset>
                </wp:positionH>
                <wp:positionV relativeFrom="paragraph">
                  <wp:posOffset>236220</wp:posOffset>
                </wp:positionV>
                <wp:extent cx="635" cy="635"/>
                <wp:effectExtent l="5080" t="5080" r="5080" b="5080"/>
                <wp:wrapNone/>
                <wp:docPr id="1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c9dff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8.6pt" to="0pt,18.6pt" ID="Straight Connector 4" stroked="t" o:allowincell="f" style="position:absolute" wp14:anchorId="3E41A4FD">
                <v:stroke color="#3c9dff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Calibri" w:ascii="Calibri" w:hAnsi="Calibri"/>
        </w:rPr>
        <w:t>AUM:</w:t>
        <w:tab/>
        <w:tab/>
        <w:tab/>
        <w:t>[AUM]</w:t>
      </w:r>
    </w:p>
    <w:p>
      <w:pPr>
        <w:sectPr>
          <w:type w:val="continuous"/>
          <w:pgSz w:w="12240" w:h="15840"/>
          <w:pgMar w:left="720" w:right="720" w:gutter="0" w:header="0" w:top="720" w:footer="720" w:bottom="777"/>
          <w:formProt w:val="false"/>
          <w:textDirection w:val="lrTb"/>
          <w:docGrid w:type="default" w:linePitch="272" w:charSpace="8192"/>
        </w:sectPr>
      </w:pPr>
    </w:p>
    <w:p>
      <w:pPr>
        <w:pStyle w:val="Normal"/>
        <w:spacing w:before="100" w:after="0"/>
        <w:contextualSpacing/>
        <w:rPr>
          <w:rFonts w:ascii="Calibri" w:hAnsi="Calibri" w:cs="Calibri"/>
        </w:rPr>
      </w:pPr>
      <w:r>
        <w:rPr>
          <w:rFonts w:cs="Calibri" w:ascii="Calibri" w:hAnsi="Calibri"/>
        </w:rPr>
        <w:t>Manager Type:</w:t>
        <w:tab/>
        <w:tab/>
        <w:t>[New/Existing]</w:t>
      </w:r>
    </w:p>
    <w:p>
      <w:pPr>
        <w:pStyle w:val="Normal"/>
        <w:spacing w:before="100" w:after="0"/>
        <w:contextualSpacing/>
        <w:rPr>
          <w:rFonts w:ascii="Calibri" w:hAnsi="Calibri" w:cs="Calibri"/>
        </w:rPr>
      </w:pPr>
      <w:r>
        <w:rPr>
          <w:rFonts w:cs="Calibri" w:ascii="Calibri" w:hAnsi="Calibri"/>
        </w:rPr>
        <w:t xml:space="preserve">Original Source: </w:t>
        <w:tab/>
        <w:tab/>
        <w:t>[Source]</w:t>
      </w:r>
    </w:p>
    <w:p>
      <w:pPr>
        <w:sectPr>
          <w:type w:val="continuous"/>
          <w:pgSz w:w="12240" w:h="15840"/>
          <w:pgMar w:left="720" w:right="720" w:gutter="0" w:header="0" w:top="720" w:footer="720" w:bottom="777"/>
          <w:formProt w:val="false"/>
          <w:textDirection w:val="lrTb"/>
          <w:docGrid w:type="default" w:linePitch="272" w:charSpace="8192"/>
        </w:sectPr>
      </w:pPr>
    </w:p>
    <w:p>
      <w:pPr>
        <w:pStyle w:val="Heading1"/>
        <w:spacing w:before="100" w:after="100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Opportunity Overview</w:t>
      </w:r>
    </w:p>
    <w:p>
      <w:pPr>
        <w:pStyle w:val="Heading3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Firm Overview</w:t>
      </w:r>
    </w:p>
    <w:p>
      <w:pPr>
        <w:pStyle w:val="Normal"/>
        <w:spacing w:before="100" w:after="10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&lt;[Firm Overview]&gt;</w:t>
      </w:r>
    </w:p>
    <w:p>
      <w:pPr>
        <w:pStyle w:val="Heading3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 xml:space="preserve">Fundraise Summary &amp; Timing </w:t>
      </w:r>
    </w:p>
    <w:p>
      <w:pPr>
        <w:pStyle w:val="Normal"/>
        <w:spacing w:before="100" w:after="10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&lt;</w:t>
      </w:r>
      <w:r>
        <w:rPr>
          <w:rFonts w:cs="Calibri" w:ascii="Calibri" w:hAnsi="Calibri"/>
        </w:rPr>
        <w:t>[Fundraise Summary &amp; Timing]</w:t>
      </w:r>
      <w:r>
        <w:rPr>
          <w:rFonts w:cs="Calibri" w:ascii="Calibri" w:hAnsi="Calibri"/>
        </w:rPr>
        <w:t>&gt;</w:t>
      </w:r>
    </w:p>
    <w:p>
      <w:pPr>
        <w:pStyle w:val="Heading1"/>
        <w:spacing w:before="100" w:after="100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Diligence Conclusions</w:t>
      </w:r>
    </w:p>
    <w:p>
      <w:pPr>
        <w:pStyle w:val="Heading3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Diligence Items</w:t>
      </w:r>
    </w:p>
    <w:p>
      <w:pPr>
        <w:pStyle w:val="ListParagraph"/>
        <w:numPr>
          <w:ilvl w:val="0"/>
          <w:numId w:val="1"/>
        </w:numPr>
        <w:spacing w:before="100" w:after="100"/>
        <w:contextualSpacing/>
        <w:rPr>
          <w:rFonts w:ascii="Calibri" w:hAnsi="Calibri" w:cs="Calibri"/>
        </w:rPr>
      </w:pPr>
      <w:r>
        <w:rPr>
          <w:rFonts w:cs="Calibri" w:ascii="Calibri" w:hAnsi="Calibri"/>
        </w:rPr>
        <w:t>X</w:t>
      </w:r>
    </w:p>
    <w:p>
      <w:pPr>
        <w:pStyle w:val="Heading3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Conclusions</w:t>
      </w:r>
    </w:p>
    <w:p>
      <w:pPr>
        <w:pStyle w:val="ListParagraph"/>
        <w:numPr>
          <w:ilvl w:val="0"/>
          <w:numId w:val="1"/>
        </w:numPr>
        <w:spacing w:lineRule="auto" w:line="259" w:before="100" w:after="10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X</w:t>
      </w:r>
    </w:p>
    <w:p>
      <w:pPr>
        <w:pStyle w:val="Heading1"/>
        <w:spacing w:before="100" w:after="100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Investment Strategy</w:t>
      </w:r>
    </w:p>
    <w:p>
      <w:pPr>
        <w:pStyle w:val="Heading3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Overview</w:t>
      </w:r>
    </w:p>
    <w:p>
      <w:pPr>
        <w:pStyle w:val="Normal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X</w:t>
      </w:r>
    </w:p>
    <w:p>
      <w:pPr>
        <w:pStyle w:val="Heading3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Market Opportunity</w:t>
      </w:r>
    </w:p>
    <w:p>
      <w:pPr>
        <w:pStyle w:val="Normal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X</w:t>
      </w:r>
    </w:p>
    <w:p>
      <w:pPr>
        <w:pStyle w:val="Heading3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 xml:space="preserve">Differentiation &amp; Winning Deals </w:t>
      </w:r>
    </w:p>
    <w:p>
      <w:pPr>
        <w:pStyle w:val="Normal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X</w:t>
      </w:r>
    </w:p>
    <w:p>
      <w:pPr>
        <w:pStyle w:val="Heading3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 xml:space="preserve">Sourcing &amp; Picking Deals </w:t>
      </w:r>
    </w:p>
    <w:p>
      <w:pPr>
        <w:pStyle w:val="Normal"/>
        <w:spacing w:before="100" w:after="10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X</w:t>
      </w:r>
    </w:p>
    <w:p>
      <w:pPr>
        <w:pStyle w:val="Heading3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Post-Investment</w:t>
      </w:r>
    </w:p>
    <w:p>
      <w:pPr>
        <w:pStyle w:val="Normal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X</w:t>
      </w:r>
    </w:p>
    <w:p>
      <w:pPr>
        <w:pStyle w:val="Heading3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 xml:space="preserve">Exiting Deals </w:t>
      </w:r>
    </w:p>
    <w:p>
      <w:pPr>
        <w:pStyle w:val="Normal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X</w:t>
      </w:r>
    </w:p>
    <w:p>
      <w:pPr>
        <w:pStyle w:val="Heading3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Portfolio Construction</w:t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Geography</w:t>
      </w:r>
      <w:r>
        <w:rPr>
          <w:rFonts w:cs="Calibri" w:ascii="Calibri" w:hAnsi="Calibri"/>
        </w:rPr>
        <w:tab/>
        <w:tab/>
        <w:tab/>
        <w:tab/>
        <w:t>X</w:t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Number of Companies</w:t>
        <w:tab/>
        <w:tab/>
        <w:tab/>
      </w:r>
      <w:r>
        <w:rPr>
          <w:rFonts w:cs="Calibri" w:ascii="Calibri" w:hAnsi="Calibri"/>
        </w:rPr>
        <w:t xml:space="preserve">X </w:t>
      </w:r>
    </w:p>
    <w:p>
      <w:pPr>
        <w:pStyle w:val="Normal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</w:rPr>
        <w:t xml:space="preserve">Initial Investment </w:t>
        <w:tab/>
        <w:tab/>
        <w:tab/>
      </w:r>
      <w:r>
        <w:rPr>
          <w:rFonts w:cs="Calibri" w:ascii="Calibri" w:hAnsi="Calibri"/>
        </w:rPr>
        <w:t>X</w:t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Total Investment</w:t>
        <w:tab/>
        <w:tab/>
        <w:tab/>
        <w:tab/>
      </w:r>
      <w:r>
        <w:rPr>
          <w:rFonts w:cs="Calibri" w:ascii="Calibri" w:hAnsi="Calibri"/>
        </w:rPr>
        <w:t>X</w:t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Ownership Strategy</w:t>
      </w:r>
      <w:r>
        <w:rPr>
          <w:rFonts w:cs="Calibri" w:ascii="Calibri" w:hAnsi="Calibri"/>
        </w:rPr>
        <w:tab/>
        <w:tab/>
        <w:tab/>
        <w:t>X</w:t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Entry Round</w:t>
      </w:r>
      <w:r>
        <w:rPr>
          <w:rFonts w:cs="Calibri" w:ascii="Calibri" w:hAnsi="Calibri"/>
        </w:rPr>
        <w:tab/>
        <w:tab/>
        <w:tab/>
        <w:tab/>
        <w:t>X</w:t>
      </w:r>
    </w:p>
    <w:p>
      <w:pPr>
        <w:pStyle w:val="Normal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</w:rPr>
        <w:t>Reserve Strategy</w:t>
        <w:tab/>
        <w:tab/>
        <w:tab/>
        <w:tab/>
      </w:r>
      <w:r>
        <w:rPr>
          <w:rFonts w:cs="Calibri" w:ascii="Calibri" w:hAnsi="Calibri"/>
        </w:rPr>
        <w:t>X</w:t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Board Seats</w:t>
      </w:r>
      <w:r>
        <w:rPr>
          <w:rFonts w:cs="Calibri" w:ascii="Calibri" w:hAnsi="Calibri"/>
        </w:rPr>
        <w:tab/>
        <w:tab/>
        <w:tab/>
        <w:tab/>
        <w:t>X</w:t>
      </w:r>
    </w:p>
    <w:p>
      <w:pPr>
        <w:pStyle w:val="Heading3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 xml:space="preserve">Initial Portfolio Investments </w:t>
      </w:r>
    </w:p>
    <w:p>
      <w:pPr>
        <w:pStyle w:val="Normal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X</w:t>
      </w:r>
    </w:p>
    <w:p>
      <w:pPr>
        <w:pStyle w:val="Heading3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Prior Track Record</w:t>
      </w:r>
    </w:p>
    <w:p>
      <w:pPr>
        <w:pStyle w:val="Normal"/>
        <w:spacing w:before="100" w:after="10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X</w:t>
      </w:r>
    </w:p>
    <w:p>
      <w:pPr>
        <w:pStyle w:val="Heading1"/>
        <w:rPr>
          <w:rFonts w:ascii="Calibri" w:hAnsi="Calibri" w:cs="Calibri"/>
        </w:rPr>
      </w:pPr>
      <w:r>
        <w:rPr>
          <w:rFonts w:cs="Calibri" w:ascii="Calibri" w:hAnsi="Calibri"/>
        </w:rPr>
        <w:t>Similar Fund Managers</w:t>
      </w:r>
    </w:p>
    <w:p>
      <w:pPr>
        <w:pStyle w:val="Normal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X</w:t>
      </w:r>
    </w:p>
    <w:p>
      <w:pPr>
        <w:pStyle w:val="Heading1"/>
        <w:spacing w:before="100" w:after="100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People</w:t>
      </w:r>
    </w:p>
    <w:p>
      <w:pPr>
        <w:pStyle w:val="Heading3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Fund Team</w:t>
      </w:r>
    </w:p>
    <w:p>
      <w:pPr>
        <w:pStyle w:val="Normal"/>
        <w:spacing w:before="100" w:after="10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X</w:t>
      </w:r>
    </w:p>
    <w:p>
      <w:pPr>
        <w:pStyle w:val="Heading3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Co-Investment Views</w:t>
      </w:r>
    </w:p>
    <w:p>
      <w:pPr>
        <w:pStyle w:val="Normal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X</w:t>
      </w:r>
    </w:p>
    <w:p>
      <w:pPr>
        <w:pStyle w:val="Heading1"/>
        <w:spacing w:before="100" w:after="100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Appendix </w:t>
      </w:r>
    </w:p>
    <w:p>
      <w:pPr>
        <w:pStyle w:val="Heading3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KWI Portfolio Overlap</w:t>
      </w:r>
    </w:p>
    <w:p>
      <w:pPr>
        <w:pStyle w:val="Normal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X</w:t>
      </w:r>
    </w:p>
    <w:p>
      <w:pPr>
        <w:pStyle w:val="Heading3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Network Reference Points</w:t>
      </w:r>
    </w:p>
    <w:p>
      <w:pPr>
        <w:pStyle w:val="Normal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X</w:t>
      </w:r>
    </w:p>
    <w:sectPr>
      <w:type w:val="continuous"/>
      <w:pgSz w:w="12240" w:h="15840"/>
      <w:pgMar w:left="720" w:right="720" w:gutter="0" w:header="0" w:top="720" w:footer="720" w:bottom="777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Arial" w:hAnsi="Arial" w:cs="Arial"/>
        <w:sz w:val="16"/>
        <w:szCs w:val="16"/>
      </w:rPr>
    </w:pPr>
    <w:r>
      <w:rPr>
        <w:rFonts w:cs="Arial"/>
        <w:sz w:val="16"/>
        <w:szCs w:val="16"/>
      </w:rPr>
      <w:t>Confidential – For Internal Use Only</w:t>
    </w:r>
  </w:p>
  <w:p>
    <w:pPr>
      <w:pStyle w:val="Footer"/>
      <w:jc w:val="right"/>
      <w:rPr>
        <w:rFonts w:ascii="Arial" w:hAnsi="Arial" w:cs="Arial"/>
        <w:sz w:val="16"/>
        <w:szCs w:val="16"/>
      </w:rPr>
    </w:pPr>
    <w:r>
      <w:rPr>
        <w:rFonts w:cs="Arial"/>
        <w:sz w:val="16"/>
        <w:szCs w:val="16"/>
      </w:rPr>
      <w:t>Knollwood Investment Advisory · July 2022 · SG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Arial" w:hAnsi="Arial" w:cs="Arial"/>
        <w:sz w:val="16"/>
        <w:szCs w:val="16"/>
      </w:rPr>
    </w:pPr>
    <w:r>
      <w:rPr>
        <w:rFonts w:cs="Arial"/>
        <w:sz w:val="16"/>
        <w:szCs w:val="16"/>
      </w:rPr>
      <w:t>Confidential – For Internal Use Only</w:t>
    </w:r>
  </w:p>
  <w:p>
    <w:pPr>
      <w:pStyle w:val="Footer"/>
      <w:jc w:val="right"/>
      <w:rPr>
        <w:rFonts w:ascii="Arial" w:hAnsi="Arial" w:cs="Arial"/>
        <w:sz w:val="16"/>
        <w:szCs w:val="16"/>
      </w:rPr>
    </w:pPr>
    <w:r>
      <w:rPr>
        <w:rFonts w:cs="Arial"/>
        <w:sz w:val="16"/>
        <w:szCs w:val="16"/>
      </w:rPr>
      <w:t>Knollwood Investment Advisory · July 2022 · SG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rFonts w:cstheme="minorHAnsi"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  <w:docVars>
    <w:docVar w:name="APWAFVersion" w:val="5.0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" w:cs="" w:asciiTheme="minorHAnsi" w:cstheme="minorBidi" w:eastAsiaTheme="minorEastAsia" w:hAnsiTheme="minorHAnsi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6211f"/>
    <w:pPr>
      <w:widowControl/>
      <w:suppressAutoHyphens w:val="true"/>
      <w:bidi w:val="0"/>
      <w:spacing w:lineRule="auto" w:line="276" w:before="100" w:after="200"/>
      <w:jc w:val="left"/>
    </w:pPr>
    <w:rPr>
      <w:rFonts w:ascii="Arial" w:hAnsi="Arial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211f"/>
    <w:pPr>
      <w:pBdr>
        <w:top w:val="single" w:sz="24" w:space="0" w:color="3C9DFF" w:themeColor="accent1"/>
        <w:left w:val="single" w:sz="24" w:space="0" w:color="3C9DFF" w:themeColor="accent1"/>
        <w:bottom w:val="single" w:sz="24" w:space="0" w:color="3C9DFF" w:themeColor="accent1"/>
        <w:right w:val="single" w:sz="24" w:space="0" w:color="3C9DFF" w:themeColor="accent1"/>
      </w:pBdr>
      <w:shd w:val="clear" w:color="auto" w:fill="3C9DFF" w:themeFill="accent1"/>
      <w:spacing w:before="100" w:after="0"/>
      <w:outlineLvl w:val="0"/>
    </w:pPr>
    <w:rPr>
      <w:caps/>
      <w:color w:themeColor="background1"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11f"/>
    <w:pPr>
      <w:pBdr>
        <w:top w:val="single" w:sz="24" w:space="0" w:color="D8EBFF" w:themeColor="accent1" w:themeTint="33"/>
        <w:left w:val="single" w:sz="24" w:space="0" w:color="D8EBFF" w:themeColor="accent1" w:themeTint="33"/>
        <w:bottom w:val="single" w:sz="24" w:space="0" w:color="D8EBFF" w:themeColor="accent1" w:themeTint="33"/>
        <w:right w:val="single" w:sz="24" w:space="0" w:color="D8EBFF" w:themeColor="accent1" w:themeTint="33"/>
      </w:pBdr>
      <w:shd w:val="clear" w:color="auto" w:fill="D8EBFF" w:themeFill="accent1" w:themeFillTint="33"/>
      <w:spacing w:before="100"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11f"/>
    <w:pPr>
      <w:pBdr>
        <w:top w:val="single" w:sz="6" w:space="2" w:color="3C9DFF" w:themeColor="accent1"/>
      </w:pBdr>
      <w:spacing w:before="300" w:after="0"/>
      <w:outlineLvl w:val="2"/>
    </w:pPr>
    <w:rPr>
      <w:caps/>
      <w:color w:themeColor="accent1" w:themeShade="7f" w:val="004D9C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211f"/>
    <w:pPr>
      <w:pBdr>
        <w:top w:val="dotted" w:sz="6" w:space="2" w:color="3C9DFF" w:themeColor="accent1"/>
      </w:pBdr>
      <w:spacing w:before="200" w:after="0"/>
      <w:outlineLvl w:val="3"/>
    </w:pPr>
    <w:rPr>
      <w:caps/>
      <w:color w:themeColor="accent1" w:themeShade="bf" w:val="0074EB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11f"/>
    <w:pPr>
      <w:pBdr>
        <w:bottom w:val="single" w:sz="6" w:space="1" w:color="3C9DFF" w:themeColor="accent1"/>
      </w:pBdr>
      <w:spacing w:before="200" w:after="0"/>
      <w:outlineLvl w:val="4"/>
    </w:pPr>
    <w:rPr>
      <w:caps/>
      <w:color w:themeColor="accent1" w:themeShade="bf" w:val="0074EB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211f"/>
    <w:pPr>
      <w:pBdr>
        <w:bottom w:val="dotted" w:sz="6" w:space="1" w:color="3C9DFF" w:themeColor="accent1"/>
      </w:pBdr>
      <w:spacing w:before="200" w:after="0"/>
      <w:outlineLvl w:val="5"/>
    </w:pPr>
    <w:rPr>
      <w:caps/>
      <w:color w:themeColor="accent1" w:themeShade="bf" w:val="0074EB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6211f"/>
    <w:pPr>
      <w:spacing w:before="200" w:after="0"/>
      <w:outlineLvl w:val="6"/>
    </w:pPr>
    <w:rPr>
      <w:caps/>
      <w:color w:themeColor="accent1" w:themeShade="bf" w:val="0074EB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11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11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6211f"/>
    <w:rPr>
      <w:caps/>
      <w:color w:themeColor="background1" w:val="FFFFFF"/>
      <w:spacing w:val="15"/>
      <w:sz w:val="22"/>
      <w:szCs w:val="22"/>
      <w:shd w:fill="3C9DFF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6211f"/>
    <w:rPr>
      <w:caps/>
      <w:spacing w:val="15"/>
      <w:shd w:fill="D8EBFF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211f"/>
    <w:rPr>
      <w:caps/>
      <w:color w:themeColor="accent1" w:themeShade="7f" w:val="004D9C"/>
      <w:spacing w:val="15"/>
    </w:rPr>
  </w:style>
  <w:style w:type="character" w:styleId="TitleChar" w:customStyle="1">
    <w:name w:val="Title Char"/>
    <w:basedOn w:val="DefaultParagraphFont"/>
    <w:link w:val="Title"/>
    <w:uiPriority w:val="10"/>
    <w:qFormat/>
    <w:rsid w:val="00f6211f"/>
    <w:rPr>
      <w:rFonts w:ascii="Times New Roman" w:hAnsi="Times New Roman" w:eastAsia="" w:cs="" w:asciiTheme="majorHAnsi" w:cstheme="majorBidi" w:eastAsiaTheme="majorEastAsia" w:hAnsiTheme="majorHAnsi"/>
      <w:caps/>
      <w:color w:themeColor="accent1" w:val="3C9DFF"/>
      <w:spacing w:val="10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6211f"/>
    <w:rPr>
      <w:caps/>
      <w:color w:themeColor="text1" w:themeTint="a6" w:val="757575"/>
      <w:spacing w:val="10"/>
      <w:sz w:val="21"/>
      <w:szCs w:val="21"/>
    </w:rPr>
  </w:style>
  <w:style w:type="character" w:styleId="SubtleReference">
    <w:name w:val="Subtle Reference"/>
    <w:uiPriority w:val="31"/>
    <w:qFormat/>
    <w:rsid w:val="00f6211f"/>
    <w:rPr>
      <w:b/>
      <w:bCs/>
      <w:color w:themeColor="accent1" w:val="3C9DFF"/>
    </w:rPr>
  </w:style>
  <w:style w:type="character" w:styleId="SubtleEmphasis">
    <w:name w:val="Subtle Emphasis"/>
    <w:uiPriority w:val="19"/>
    <w:qFormat/>
    <w:rsid w:val="00f6211f"/>
    <w:rPr>
      <w:i/>
      <w:iCs/>
      <w:color w:themeColor="accent1" w:themeShade="7f" w:val="004D9C"/>
    </w:rPr>
  </w:style>
  <w:style w:type="character" w:styleId="Emphasis">
    <w:name w:val="Emphasis"/>
    <w:uiPriority w:val="20"/>
    <w:qFormat/>
    <w:rsid w:val="00f6211f"/>
    <w:rPr>
      <w:caps/>
      <w:color w:themeColor="accent1" w:themeShade="7f" w:val="004D9C"/>
      <w:spacing w:val="5"/>
    </w:rPr>
  </w:style>
  <w:style w:type="character" w:styleId="QuoteChar" w:customStyle="1">
    <w:name w:val="Quote Char"/>
    <w:basedOn w:val="DefaultParagraphFont"/>
    <w:link w:val="Quote"/>
    <w:uiPriority w:val="29"/>
    <w:qFormat/>
    <w:rsid w:val="00f6211f"/>
    <w:rPr>
      <w:i/>
      <w:iCs/>
      <w:sz w:val="24"/>
      <w:szCs w:val="24"/>
    </w:rPr>
  </w:style>
  <w:style w:type="character" w:styleId="IntenseEmphasis">
    <w:name w:val="Intense Emphasis"/>
    <w:uiPriority w:val="21"/>
    <w:qFormat/>
    <w:rsid w:val="00f6211f"/>
    <w:rPr>
      <w:b/>
      <w:bCs/>
      <w:caps/>
      <w:color w:themeColor="accent1" w:themeShade="7f" w:val="004D9C"/>
      <w:spacing w:val="1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6211f"/>
    <w:rPr>
      <w:color w:themeColor="accent1" w:val="3C9DF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f6211f"/>
    <w:rPr>
      <w:caps/>
      <w:color w:themeColor="accent1" w:themeShade="bf" w:val="0074EB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f6211f"/>
    <w:rPr>
      <w:caps/>
      <w:color w:themeColor="accent1" w:themeShade="bf" w:val="0074EB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f6211f"/>
    <w:rPr>
      <w:caps/>
      <w:color w:themeColor="accent1" w:themeShade="bf" w:val="0074EB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f6211f"/>
    <w:rPr>
      <w:caps/>
      <w:color w:themeColor="accent1" w:themeShade="bf" w:val="0074EB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6211f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6211f"/>
    <w:rPr>
      <w:i/>
      <w:iCs/>
      <w:caps/>
      <w:spacing w:val="10"/>
      <w:sz w:val="18"/>
      <w:szCs w:val="18"/>
    </w:rPr>
  </w:style>
  <w:style w:type="character" w:styleId="BookTitle">
    <w:name w:val="Book Title"/>
    <w:uiPriority w:val="33"/>
    <w:qFormat/>
    <w:rsid w:val="00f6211f"/>
    <w:rPr>
      <w:b/>
      <w:bCs/>
      <w:i/>
      <w:iCs/>
      <w:spacing w:val="0"/>
    </w:rPr>
  </w:style>
  <w:style w:type="character" w:styleId="IntenseReference">
    <w:name w:val="Intense Reference"/>
    <w:uiPriority w:val="32"/>
    <w:qFormat/>
    <w:rsid w:val="00f6211f"/>
    <w:rPr>
      <w:b/>
      <w:bCs/>
      <w:i/>
      <w:iCs/>
      <w:caps/>
      <w:color w:themeColor="accent1" w:val="3C9DFF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f32818"/>
    <w:rPr/>
  </w:style>
  <w:style w:type="character" w:styleId="Strong">
    <w:name w:val="Strong"/>
    <w:uiPriority w:val="22"/>
    <w:qFormat/>
    <w:rsid w:val="00f6211f"/>
    <w:rPr>
      <w:b/>
      <w:b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646bd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c646bd"/>
    <w:rPr>
      <w:rFonts w:ascii="Tahoma" w:hAnsi="Tahoma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c646bd"/>
    <w:rPr>
      <w:rFonts w:ascii="Tahoma" w:hAnsi="Tahoma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646bd"/>
    <w:rPr>
      <w:rFonts w:ascii="Segoe UI" w:hAnsi="Segoe UI" w:cs="Segoe UI"/>
      <w:sz w:val="18"/>
      <w:szCs w:val="18"/>
    </w:rPr>
  </w:style>
  <w:style w:type="character" w:styleId="spellingerror" w:customStyle="1">
    <w:name w:val="spellingerror"/>
    <w:basedOn w:val="DefaultParagraphFont"/>
    <w:qFormat/>
    <w:rsid w:val="00ae6c97"/>
    <w:rPr/>
  </w:style>
  <w:style w:type="character" w:styleId="normaltextrun" w:customStyle="1">
    <w:name w:val="normaltextrun"/>
    <w:basedOn w:val="DefaultParagraphFont"/>
    <w:qFormat/>
    <w:rsid w:val="00ae6c97"/>
    <w:rPr/>
  </w:style>
  <w:style w:type="character" w:styleId="apple-converted-space" w:customStyle="1">
    <w:name w:val="apple-converted-space"/>
    <w:basedOn w:val="DefaultParagraphFont"/>
    <w:qFormat/>
    <w:rsid w:val="00ae6c97"/>
    <w:rPr/>
  </w:style>
  <w:style w:type="character" w:styleId="eop" w:customStyle="1">
    <w:name w:val="eop"/>
    <w:basedOn w:val="DefaultParagraphFont"/>
    <w:qFormat/>
    <w:rsid w:val="00ae6c97"/>
    <w:rPr/>
  </w:style>
  <w:style w:type="character" w:styleId="Hyperlink">
    <w:name w:val="Hyperlink"/>
    <w:basedOn w:val="DefaultParagraphFont"/>
    <w:uiPriority w:val="99"/>
    <w:unhideWhenUsed/>
    <w:rsid w:val="002648e3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a7b8c"/>
    <w:rPr>
      <w:rFonts w:ascii="Tahoma" w:hAnsi="Tahoma"/>
      <w:sz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a7b8c"/>
    <w:rPr>
      <w:rFonts w:ascii="Tahoma" w:hAnsi="Tahoma"/>
      <w:sz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211f"/>
    <w:pPr/>
    <w:rPr>
      <w:b/>
      <w:bCs/>
      <w:color w:themeColor="accent1" w:themeShade="bf" w:val="0074EB"/>
      <w:sz w:val="16"/>
      <w:szCs w:val="16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6211f"/>
    <w:pPr>
      <w:spacing w:before="0" w:after="0"/>
    </w:pPr>
    <w:rPr>
      <w:rFonts w:ascii="Times New Roman" w:hAnsi="Times New Roman" w:eastAsia="" w:cs="" w:asciiTheme="majorHAnsi" w:cstheme="majorBidi" w:eastAsiaTheme="majorEastAsia" w:hAnsiTheme="majorHAnsi"/>
      <w:caps/>
      <w:color w:themeColor="accent1" w:val="3C9DF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11f"/>
    <w:pPr>
      <w:spacing w:lineRule="auto" w:line="240" w:before="0" w:after="500"/>
    </w:pPr>
    <w:rPr>
      <w:caps/>
      <w:color w:themeColor="text1" w:themeTint="a6" w:val="757575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spacing w:before="100" w:after="200"/>
      <w:ind w:left="72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f6211f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11f"/>
    <w:pPr>
      <w:spacing w:lineRule="auto" w:line="240" w:before="240" w:after="240"/>
      <w:ind w:left="1080" w:right="1080"/>
      <w:jc w:val="center"/>
    </w:pPr>
    <w:rPr>
      <w:color w:themeColor="accent1" w:val="3C9DFF"/>
      <w:sz w:val="24"/>
      <w:szCs w:val="24"/>
    </w:rPr>
  </w:style>
  <w:style w:type="paragraph" w:styleId="NoSpacing">
    <w:name w:val="No Spacing"/>
    <w:link w:val="NoSpacingChar"/>
    <w:uiPriority w:val="1"/>
    <w:qFormat/>
    <w:rsid w:val="00f6211f"/>
    <w:pPr>
      <w:widowControl/>
      <w:suppressAutoHyphens w:val="true"/>
      <w:bidi w:val="0"/>
      <w:spacing w:lineRule="auto" w:line="240" w:before="100" w:after="0"/>
      <w:jc w:val="left"/>
    </w:pPr>
    <w:rPr>
      <w:rFonts w:ascii="Arial" w:hAnsi="Arial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ja-JP" w:bidi="ar-SA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211f"/>
    <w:pPr>
      <w:outlineLvl w:val="9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rsid w:val="00c646bd"/>
    <w:pPr>
      <w:spacing w:lineRule="auto" w:line="240"/>
    </w:pPr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c646bd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646b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paragraph" w:customStyle="1">
    <w:name w:val="paragraph"/>
    <w:basedOn w:val="Normal"/>
    <w:qFormat/>
    <w:rsid w:val="00ae6c9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2648e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a7b8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a7b8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1">
    <w:name w:val="TOC 1"/>
    <w:basedOn w:val="Normal"/>
    <w:next w:val="Normal"/>
    <w:autoRedefine/>
    <w:uiPriority w:val="39"/>
    <w:unhideWhenUsed/>
    <w:rsid w:val="00e66ec8"/>
    <w:pPr>
      <w:spacing w:before="10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e66ec8"/>
    <w:pPr>
      <w:spacing w:before="100" w:after="100"/>
      <w:ind w:left="200"/>
    </w:pPr>
    <w:rPr/>
  </w:style>
  <w:style w:type="paragraph" w:styleId="TOC3">
    <w:name w:val="TOC 3"/>
    <w:basedOn w:val="Normal"/>
    <w:next w:val="Normal"/>
    <w:autoRedefine/>
    <w:uiPriority w:val="39"/>
    <w:unhideWhenUsed/>
    <w:rsid w:val="00e66ec8"/>
    <w:pPr>
      <w:spacing w:before="100" w:after="100"/>
      <w:ind w:left="400"/>
    </w:pPr>
    <w:rPr/>
  </w:style>
  <w:style w:type="paragraph" w:styleId="graf" w:customStyle="1">
    <w:name w:val="graf"/>
    <w:basedOn w:val="Normal"/>
    <w:qFormat/>
    <w:rsid w:val="00515fd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2C2C2C" w:themeColor="text1" w:sz="4" w:space="0"/>
        <w:left w:val="single" w:color="2C2C2C" w:themeColor="text1" w:sz="4" w:space="0"/>
        <w:bottom w:val="single" w:color="2C2C2C" w:themeColor="text1" w:sz="4" w:space="0"/>
        <w:right w:val="single" w:color="2C2C2C" w:themeColor="text1" w:sz="4" w:space="0"/>
        <w:insideH w:val="single" w:color="2C2C2C" w:themeColor="text1" w:sz="4" w:space="0"/>
        <w:insideV w:val="single" w:color="2C2C2C" w:themeColor="text1" w:sz="4" w:space="0"/>
      </w:tblBorders>
    </w:tblPr>
  </w:style>
  <w:style w:type="table" w:styleId="ListTable7Colorful">
    <w:name w:val="List Table 7 Colorful"/>
    <w:basedOn w:val="TableNormal"/>
    <w:uiPriority w:val="52"/>
    <w:rsid w:val="003c476f"/>
    <w:pPr>
      <w:spacing w:after="0" w:line="240" w:lineRule="auto"/>
    </w:pPr>
    <w:rPr>
      <w:color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2C2C2C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2C2C2C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2C2C2C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2C2C2C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af602b"/>
    <w:pPr>
      <w:spacing w:after="0" w:line="240" w:lineRule="auto"/>
    </w:pPr>
    <w:tblPr>
      <w:tblStyleRowBandSize w:val="1"/>
      <w:tblStyleColBandSize w:val="1"/>
      <w:tblBorders>
        <w:top w:val="single" w:color="8AC3FF" w:themeColor="accent1" w:themeTint="99" w:sz="2" w:space="0"/>
        <w:bottom w:val="single" w:color="8AC3FF" w:themeColor="accent1" w:themeTint="99" w:sz="2" w:space="0"/>
        <w:insideH w:val="single" w:color="8AC3FF" w:themeColor="accent1" w:themeTint="99" w:sz="2" w:space="0"/>
        <w:insideV w:val="single" w:color="8AC3FF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AC3FF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AC3FF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BFF" w:themeFill="accent1" w:themeFillTint="33"/>
      </w:tcPr>
    </w:tblStylePr>
    <w:tblStylePr w:type="band1Horz">
      <w:tblPr/>
      <w:tcPr>
        <w:shd w:val="clear" w:color="auto" w:fill="D8EBFF" w:themeFill="accen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e40ac"/>
    <w:pPr>
      <w:spacing w:after="0" w:line="240" w:lineRule="auto"/>
    </w:pPr>
    <w:rPr>
      <w:lang w:eastAsia="en-US"/>
      <w:color w:themeColor="accent5" w:themeShade="bf"/>
    </w:rPr>
    <w:tblPr>
      <w:tblStyleRowBandSize w:val="1"/>
      <w:tblStyleColBandSize w:val="1"/>
      <w:tblBorders>
        <w:top w:val="single" w:color="606060" w:themeColor="accent5" w:sz="4" w:space="0"/>
        <w:bottom w:val="single" w:color="60606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60606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606060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xmlns:r="http://schemas.openxmlformats.org/officeDocument/2006/relationships" name="Banded">
  <a:themeElements>
    <a:clrScheme name="Custom 16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3c9dff"/>
      </a:accent1>
      <a:accent2>
        <a:srgbClr val="a5d028"/>
      </a:accent2>
      <a:accent3>
        <a:srgbClr val="c9ecfc"/>
      </a:accent3>
      <a:accent4>
        <a:srgbClr val="ffc000"/>
      </a:accent4>
      <a:accent5>
        <a:srgbClr val="606060"/>
      </a:accent5>
      <a:accent6>
        <a:srgbClr val="8cfacb"/>
      </a:accent6>
      <a:hlink>
        <a:srgbClr val="005dba"/>
      </a:hlink>
      <a:folHlink>
        <a:srgbClr val="6c606a"/>
      </a:folHlink>
    </a:clrScheme>
    <a:fontScheme name="Times New Roman-Arial">
      <a:majorFont>
        <a:latin typeface="Times New Roman" panose="02020603050405020304" pitchFamily="0" charset="1"/>
        <a:ea typeface=""/>
        <a:cs typeface=""/>
      </a:majorFont>
      <a:minorFont>
        <a:latin typeface="Arial" panose="020B06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65000"/>
                <a:lumMod val="107000"/>
              </a:schemeClr>
            </a:gs>
            <a:gs pos="50000">
              <a:schemeClr val="phClr">
                <a:tint val="70000"/>
                <a:lumMod val="103000"/>
              </a:schemeClr>
            </a:gs>
            <a:gs pos="100000">
              <a:schemeClr val="phClr">
                <a:tint val="85000"/>
                <a:lumMod val="100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tint val="85000"/>
                <a:shade val="98000"/>
                <a:lumMod val="103000"/>
              </a:schemeClr>
            </a:gs>
            <a:gs pos="50000">
              <a:schemeClr val="phClr">
                <a:shade val="85000"/>
                <a:lumMod val="100000"/>
              </a:schemeClr>
            </a:gs>
            <a:gs pos="100000">
              <a:schemeClr val="phClr">
                <a:shade val="60000"/>
                <a:lumMod val="100000"/>
              </a:schemeClr>
            </a:gs>
          </a:gsLst>
          <a:lin ang="5400000" scaled="0"/>
          <a:tileRect l="0" t="0" r="0" b="0"/>
        </a:gradFill>
      </a:fillStyleLst>
      <a:lnStyleLst>
        <a:ln w="9525" cap="flat" cmpd="sng" algn="ctr">
          <a:prstDash val="solid"/>
        </a:ln>
        <a:ln w="12700" cap="flat" cmpd="sng" algn="ctr">
          <a:prstDash val="solid"/>
        </a:ln>
        <a:ln w="254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blipFill rotWithShape="1">
          <a:srcRect l="0" t="0" r="0" b="0"/>
          <a:tile tx="0" ty="0" sx="100000" sy="100000" flip="none" algn="tl"/>
        </a:blipFill>
        <a:gradFill>
          <a:gsLst>
            <a:gs pos="0">
              <a:schemeClr val="phClr">
                <a:tint val="100000"/>
                <a:shade val="0"/>
              </a:schemeClr>
            </a:gs>
            <a:gs pos="100000">
              <a:schemeClr val="phClr">
                <a:shade val="100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DFC691-CB14-431E-AF73-5CFAF4AE9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LibreOffice/24.2.4.2$Linux_X86_64 LibreOffice_project/420$Build-2</Application>
  <AppVersion>15.0000</AppVersion>
  <Pages>2</Pages>
  <Words>139</Words>
  <Characters>792</Characters>
  <CharactersWithSpaces>913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2022-06-30T14:19:00Z</dcterms:created>
  <dc:creator>Salvatore Gorgoni</dc:creator>
  <dc:description/>
  <dc:language>en-US</dc:language>
  <cp:lastModifiedBy/>
  <cp:lastPrinted>2017-06-22T19:54:00Z</cp:lastPrinted>
  <dcterms:modified xsi:type="dcterms:W3CDTF">2024-07-15T20:48:31Z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