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EBD347" w14:textId="77777777" w:rsidR="00992AB9" w:rsidRDefault="00992AB9" w:rsidP="00992AB9">
      <w:pPr>
        <w:pStyle w:val="1"/>
        <w:pageBreakBefore/>
      </w:pPr>
      <w:r>
        <w:t>10. Project Management and Risks</w:t>
      </w:r>
    </w:p>
    <w:p w14:paraId="76152065" w14:textId="77777777" w:rsidR="00992AB9" w:rsidRDefault="00992AB9" w:rsidP="00992AB9">
      <w:pPr>
        <w:pStyle w:val="2"/>
      </w:pPr>
      <w:r>
        <w:t>10.1 Repository and tools</w:t>
      </w:r>
    </w:p>
    <w:p w14:paraId="2388C3DF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Git repository: https://github.com/aknur111/MedGuardAI (public). Work is organized through feature branches and pull requests; mandatory peer review and main-branch protection were not enabled at the time of the documented review. The intended submission tag is pre-defense-1; YouTrack MED-14 still mentions the older prob-period-1 tag and should be updated after team confirmation.</w:t>
      </w:r>
    </w:p>
    <w:p w14:paraId="50CEFB2E" w14:textId="4C88C52E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YouTrack project: MED (https://medguard.youtrack.cloud/issues). Current tasks use MED identifiers; the initial MSA labels are historical planning identifiers and should not be used as YouTrack issue links.</w:t>
      </w:r>
    </w:p>
    <w:p w14:paraId="2F870441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rPr>
          <w:b/>
          <w:bCs/>
        </w:rPr>
      </w:r>
      <w:r/>
      <w:r w:rsidRPr="006C2519">
        <w:rPr>
          <w:lang w:val="en-US"/>
        </w:rPr>
      </w:r>
      <w:r/>
      <w:r>
        <w:t>Planned CI: GitHub Actions for linting, tests and diagram rendering (enable and verify workflows when implementation is ready).</w:t>
      </w:r>
    </w:p>
    <w:p w14:paraId="69BB04B5" w14:textId="77777777" w:rsidR="00992AB9" w:rsidRDefault="00992AB9" w:rsidP="00992AB9">
      <w:pPr>
        <w:pStyle w:val="3"/>
      </w:pPr>
      <w:r>
        <w:t>Repository structure</w:t>
      </w:r>
    </w:p>
    <w:p w14:paraId="46B07E74" w14:textId="77777777" w:rsidR="00992AB9" w:rsidRDefault="00992AB9" w:rsidP="00992AB9">
      <w:pPr>
        <w:shd w:val="clear" w:color="auto" w:fill="F4F6F8"/>
      </w:pPr>
      <w:r>
        <w:t>medguard/</w:t>
      </w:r>
    </w:p>
    <w:p w14:paraId="7BEFF4CA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├── README.md          project, team, scope, status, links</w:t>
      </w:r>
    </w:p>
    <w:p w14:paraId="3F8EE29E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├── docs/              proposal, reviews, requirements</w:t>
      </w:r>
    </w:p>
    <w:p w14:paraId="67989D30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│   └── adr/           architecture decision records</w:t>
      </w:r>
    </w:p>
    <w:p w14:paraId="64D339D0" w14:textId="77777777" w:rsidR="00992AB9" w:rsidRDefault="00992AB9" w:rsidP="00992AB9">
      <w:pPr>
        <w:shd w:val="clear" w:color="auto" w:fill="F4F6F8"/>
      </w:pPr>
      <w:r>
        <w:t>├── diagrams/          editable .drawio/.puml sources + PNG/SVG exports</w:t>
      </w:r>
    </w:p>
    <w:p w14:paraId="165DD8AD" w14:textId="77777777" w:rsidR="00992AB9" w:rsidRDefault="00992AB9" w:rsidP="00992AB9">
      <w:pPr>
        <w:shd w:val="clear" w:color="auto" w:fill="F4F6F8"/>
      </w:pPr>
      <w:r>
        <w:t>├── prototype/         MedGuard UI prototype PDF and design assets</w:t>
      </w:r>
    </w:p>
    <w:p w14:paraId="294E1ED8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├── backend/           FastAPI application</w:t>
      </w:r>
    </w:p>
    <w:p w14:paraId="35020E93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├── ai/                NLP parser, RAG, explainer, eval</w:t>
      </w:r>
    </w:p>
    <w:p w14:paraId="2AF5E988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├── frontend/          Next.js application</w:t>
      </w:r>
    </w:p>
    <w:p w14:paraId="370CCEDD" w14:textId="77777777" w:rsidR="00992AB9" w:rsidRDefault="00992AB9" w:rsidP="00992AB9">
      <w:pPr>
        <w:shd w:val="clear" w:color="auto" w:fill="F4F6F8"/>
      </w:pPr>
      <w:r>
        <w:t>├── data/              offline synthetic-data generation, rule-base and label-preparation scripts</w:t>
      </w:r>
    </w:p>
    <w:p w14:paraId="0168C091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├── tests/             unit, integration, e2e</w:t>
      </w:r>
    </w:p>
    <w:p w14:paraId="2AB02AB5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├── docker-compose.yml</w:t>
      </w:r>
    </w:p>
    <w:p w14:paraId="436325CA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├── .env.example       placeholder values only</w:t>
      </w:r>
    </w:p>
    <w:p w14:paraId="4DAD9907" w14:textId="77777777" w:rsidR="00992AB9" w:rsidRDefault="00992AB9" w:rsidP="00992AB9">
      <w:pPr>
        <w:shd w:val="clear" w:color="auto" w:fill="F4F6F8"/>
      </w:pPr>
      <w:r>
        <w:rPr>
          <w:rFonts w:ascii="Consolas" w:eastAsia="Consolas" w:hAnsi="Consolas" w:cs="Consolas"/>
          <w:sz w:val="17"/>
          <w:szCs w:val="17"/>
        </w:rPr>
        <w:t>└── .gitignore</w:t>
      </w:r>
    </w:p>
    <w:p w14:paraId="17D46D39" w14:textId="77777777" w:rsidR="00992AB9" w:rsidRDefault="00992AB9" w:rsidP="00992AB9">
      <w:pPr>
        <w:spacing w:after="120" w:line="288" w:lineRule="auto"/>
        <w:jc w:val="both"/>
      </w:pPr>
    </w:p>
    <w:p w14:paraId="4B6EE8B7" w14:textId="77777777" w:rsidR="00992AB9" w:rsidRDefault="00992AB9" w:rsidP="00992AB9">
      <w:pPr>
        <w:pStyle w:val="2"/>
      </w:pPr>
      <w:r>
        <w:t>10.2 Roles and responsibilities</w:t>
      </w:r>
    </w:p>
    <w:p w14:paraId="78E2997B" w14:textId="77777777" w:rsidR="00992AB9" w:rsidRDefault="00992AB9" w:rsidP="00992AB9">
      <w:pPr>
        <w:spacing w:after="120" w:line="288" w:lineRule="auto"/>
        <w:jc w:val="both"/>
      </w:pPr>
      <w:r>
        <w:t>Each member leads assigned workstreams and supports others. Changes are submitted through pull requests; peer review is encouraged but is not currently enforced by repository settings. The responsibilities below describe the agreed project plan, not a claim that every feature has already been implemented.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2051"/>
        <w:gridCol w:w="4205"/>
        <w:gridCol w:w="1335"/>
      </w:tblGrid>
      <w:tr w:rsidR="00992AB9" w14:paraId="5C2B302E" w14:textId="77777777" w:rsidTr="003670C3">
        <w:trPr>
          <w:tblHeader/>
          <w:tblHeader w:val="true"/>
          <w:cantSplit/>
        </w:trPr>
        <w:tc>
          <w:tcPr>
            <w:tcW w:w="14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6FE31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8"/>
                <w:szCs w:val="18"/>
              </w:rPr>
              <w:t>Member</w:t>
            </w:r>
          </w:p>
        </w:tc>
        <w:tc>
          <w:tcPr>
            <w:tcW w:w="2051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27709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8"/>
                <w:szCs w:val="18"/>
              </w:rPr>
              <w:t>Roles</w:t>
            </w:r>
          </w:p>
        </w:tc>
        <w:tc>
          <w:tcPr>
            <w:tcW w:w="420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DA149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8"/>
                <w:szCs w:val="18"/>
              </w:rPr>
              <w:t>Primary responsibility</w:t>
            </w:r>
          </w:p>
        </w:tc>
        <w:tc>
          <w:tcPr>
            <w:tcW w:w="13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14183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8"/>
                <w:szCs w:val="18"/>
              </w:rPr>
              <w:t>Reviews</w:t>
            </w:r>
          </w:p>
        </w:tc>
      </w:tr>
      <w:tr w:rsidR="00992AB9" w14:paraId="069A140F" w14:textId="77777777" w:rsidTr="003670C3">
        <w:trPr>
          <w:cantSplit/>
          <w:cantSplit/>
        </w:trPr>
        <w:tc>
          <w:tcPr>
            <w:tcW w:w="14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43CA2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Yertay Altynay</w:t>
            </w:r>
          </w:p>
        </w:tc>
        <w:tc>
          <w:tcPr>
            <w:tcW w:w="2051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71094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ML Engineer (lead), Research Head, Backend Developer, Frontend Developer</w:t>
            </w:r>
          </w:p>
        </w:tc>
        <w:tc>
          <w:tcPr>
            <w:tcW w:w="420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NLP anamnesis parser, local RAG retrieval, explanation generator and evidence support check; rule-base research, literature review, evaluation scripts and experiments (Section 9); assigned backend and web UI contributions.</w:t>
            </w:r>
          </w:p>
        </w:tc>
        <w:tc>
          <w:tcPr>
            <w:tcW w:w="13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2328E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ML and research pull requests</w:t>
            </w:r>
          </w:p>
        </w:tc>
      </w:tr>
      <w:tr w:rsidR="00992AB9" w14:paraId="2C5762BE" w14:textId="77777777" w:rsidTr="003670C3">
        <w:trPr>
          <w:cantSplit/>
          <w:cantSplit/>
        </w:trPr>
        <w:tc>
          <w:tcPr>
            <w:tcW w:w="14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0025D7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Salemkan Aknur</w:t>
            </w:r>
          </w:p>
        </w:tc>
        <w:tc>
          <w:tcPr>
            <w:tcW w:w="2051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89FA2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Head of Backend, DevOps, Business Analyst</w:t>
            </w:r>
            <w:r>
              <w:rPr>
                <w:sz w:val="18"/>
                <w:szCs w:val="18"/>
                <w:lang w:val="en-US"/>
              </w:rPr>
              <w:t>, UI/UX Designer</w:t>
            </w:r>
            <w:r>
              <w:rPr>
                <w:sz w:val="18"/>
                <w:szCs w:val="18"/>
              </w:rPr>
              <w:t>, ML Developer</w:t>
            </w:r>
          </w:p>
        </w:tc>
        <w:tc>
          <w:tcPr>
            <w:tcW w:w="420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Backend architecture, database schema, FastAPI REST API, team-script synthetic database generator, RxNorm normalisation, Drug Safety Engine, schedule generator, authentication/RBAC, audit, Docker and CI; requirements, physician interview and AI integration.</w:t>
            </w:r>
          </w:p>
        </w:tc>
        <w:tc>
          <w:tcPr>
            <w:tcW w:w="13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9A8118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Backend and DevOps pull requests</w:t>
            </w:r>
          </w:p>
        </w:tc>
      </w:tr>
      <w:tr w:rsidR="00992AB9" w14:paraId="57B35FCF" w14:textId="77777777" w:rsidTr="003670C3">
        <w:trPr>
          <w:cantSplit/>
          <w:cantSplit/>
        </w:trPr>
        <w:tc>
          <w:tcPr>
            <w:tcW w:w="14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3D197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Nuraly Nuray</w:t>
            </w:r>
          </w:p>
        </w:tc>
        <w:tc>
          <w:tcPr>
            <w:tcW w:w="2051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C5B09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Project Manager, Head of Frontend, QA Engineer, ML Developer</w:t>
            </w:r>
          </w:p>
        </w:tc>
        <w:tc>
          <w:tcPr>
            <w:tcW w:w="420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Project planning, YouTrack and supervisor communication; doctor dashboard, patient web interface, read-only administrator dashboard (usage counts, clinics, doctors and pseudonymous logs), Telegram bot interface and reminders; end-to-end, QA and usability tests; test-scenario labelling; Sections 1, 4, 5 and 10.</w:t>
            </w:r>
          </w:p>
        </w:tc>
        <w:tc>
          <w:tcPr>
            <w:tcW w:w="13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227A1C" w14:textId="77777777" w:rsidR="00992AB9" w:rsidRDefault="00992AB9" w:rsidP="003670C3">
            <w:pPr>
              <w:spacing w:after="20" w:line="252" w:lineRule="auto"/>
            </w:pPr>
            <w:r>
              <w:rPr>
                <w:sz w:val="18"/>
                <w:szCs w:val="18"/>
              </w:rPr>
              <w:t>Frontend pull requests and documentation</w:t>
            </w:r>
          </w:p>
        </w:tc>
      </w:tr>
    </w:tbl>
    <w:p w14:paraId="176F67A9" w14:textId="77777777" w:rsidR="00992AB9" w:rsidRDefault="00992AB9" w:rsidP="00992AB9">
      <w:pPr>
        <w:spacing w:after="80"/>
      </w:pPr>
    </w:p>
    <w:p w14:paraId="27E8819B" w14:textId="77777777" w:rsidR="00992AB9" w:rsidRDefault="00992AB9" w:rsidP="00992AB9">
      <w:pPr>
        <w:spacing w:after="80"/>
      </w:pPr>
    </w:p>
    <w:p w14:paraId="1DC0EE87" w14:textId="77777777" w:rsidR="00992AB9" w:rsidRDefault="00992AB9" w:rsidP="00992AB9">
      <w:pPr>
        <w:pStyle w:val="2"/>
      </w:pPr>
      <w:r>
        <w:t>10.3 Task plan and tracked deliverables (October 2026)</w:t>
      </w:r>
    </w:p>
    <w:p>
      <w:pPr/>
      <w:r>
        <w:t>Deadline source (24 October 2026): Dates in Table 10.2 were transcribed from screenshots of the Due field in individual MedGuard YouTrack issues MED-1–MED-14 and MED-16–MED-18. MED-15 was not shown and is not included. The time 18:00 for MED-14 comes from its acceptance criteria; YouTrack displays the due date as 24 October 2026.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7"/>
        <w:gridCol w:w="1435"/>
        <w:gridCol w:w="923"/>
        <w:gridCol w:w="2361"/>
      </w:tblGrid>
      <w:tr w:rsidR="00992AB9" w14:paraId="41EBF776" w14:textId="77777777" w:rsidTr="003670C3">
        <w:trPr>
          <w:tblHeader/>
          <w:tblHeader w:val="true"/>
          <w:cantSplit/>
        </w:trPr>
        <w:tc>
          <w:tcPr>
            <w:tcW w:w="4307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B7502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Task</w:t>
            </w:r>
          </w:p>
        </w:tc>
        <w:tc>
          <w:tcPr>
            <w:tcW w:w="143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4778A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Owner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Due (YouTrack)</w:t>
            </w:r>
          </w:p>
        </w:tc>
        <w:tc>
          <w:tcPr>
            <w:tcW w:w="2361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206CE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Acceptance criterion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 Create GitHub repository and initial structure</w:t>
            </w:r>
          </w:p>
        </w:tc>
        <w:tc>
          <w:tcPr>
            <w:tcW w:type="dxa" w:w="1435"/>
          </w:tcPr>
          <w:p>
            <w:r>
              <w:t>Aknur</w:t>
            </w:r>
          </w:p>
        </w:tc>
        <w:tc>
          <w:tcPr>
            <w:tcW w:type="dxa" w:w="923"/>
          </w:tcPr>
          <w:p>
            <w:r>
              <w:t>17 Oct 2026</w:t>
            </w:r>
          </w:p>
        </w:tc>
        <w:tc>
          <w:tcPr>
            <w:tcW w:type="dxa" w:w="2361"/>
          </w:tcPr>
          <w:p>
            <w:r>
              <w:t>Repository and README created; supervisor access to be verified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MED-2 Set up YouTrack project and task board</w:t>
            </w:r>
          </w:p>
        </w:tc>
        <w:tc>
          <w:tcPr>
            <w:tcW w:type="dxa" w:w="1435"/>
          </w:tcPr>
          <w:p>
            <w:r>
              <w:t>Aknur</w:t>
            </w:r>
          </w:p>
        </w:tc>
        <w:tc>
          <w:tcPr>
            <w:tcW w:type="dxa" w:w="923"/>
          </w:tcPr>
          <w:p>
            <w:r>
              <w:t>17 Oct 2026</w:t>
            </w:r>
          </w:p>
        </w:tc>
        <w:tc>
          <w:tcPr>
            <w:tcW w:type="dxa" w:w="2361"/>
          </w:tcPr>
          <w:p>
            <w:r>
              <w:t>Project board and task ownership documented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MED-3 Project proposal and scope (Section 1)</w:t>
            </w:r>
          </w:p>
        </w:tc>
        <w:tc>
          <w:tcPr>
            <w:tcW w:type="dxa" w:w="1435"/>
          </w:tcPr>
          <w:p>
            <w:r>
              <w:t>Nuray</w:t>
            </w:r>
          </w:p>
        </w:tc>
        <w:tc>
          <w:tcPr>
            <w:tcW w:type="dxa" w:w="923"/>
          </w:tcPr>
          <w:p>
            <w:r>
              <w:t>18 Oct 2026</w:t>
            </w:r>
          </w:p>
        </w:tc>
        <w:tc>
          <w:tcPr>
            <w:tcW w:type="dxa" w:w="2361"/>
          </w:tcPr>
          <w:p>
            <w:r>
              <w:t>Updated proposal aligned with MedGuard scope; supervisor review pending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MED-4 Conduct interviews with potential users</w:t>
            </w:r>
          </w:p>
        </w:tc>
        <w:tc>
          <w:tcPr>
            <w:tcW w:type="dxa" w:w="1435"/>
          </w:tcPr>
          <w:p>
            <w:r>
              <w:t>Nuray</w:t>
            </w:r>
          </w:p>
        </w:tc>
        <w:tc>
          <w:tcPr>
            <w:tcW w:type="dxa" w:w="923"/>
          </w:tcPr>
          <w:p>
            <w:r>
              <w:t>22 Oct 2026</w:t>
            </w:r>
          </w:p>
        </w:tc>
        <w:tc>
          <w:tcPr>
            <w:tcW w:type="dxa" w:w="2361"/>
          </w:tcPr>
          <w:p>
            <w:r>
              <w:t>Interview activity documented; distinguish task assignee from interview author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MED-5 Literature review and analysis table</w:t>
            </w:r>
          </w:p>
        </w:tc>
        <w:tc>
          <w:tcPr>
            <w:tcW w:type="dxa" w:w="1435"/>
          </w:tcPr>
          <w:p>
            <w:r>
              <w:t>Altynay</w:t>
            </w:r>
          </w:p>
        </w:tc>
        <w:tc>
          <w:tcPr>
            <w:tcW w:type="dxa" w:w="923"/>
          </w:tcPr>
          <w:p>
            <w:r>
              <w:t>20 Oct 2026</w:t>
            </w:r>
          </w:p>
        </w:tc>
        <w:tc>
          <w:tcPr>
            <w:tcW w:type="dxa" w:w="2361"/>
          </w:tcPr>
          <w:p>
            <w:r>
              <w:t>Source list and comparison table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MED-6 Existing system comparison (Section 4)</w:t>
            </w:r>
          </w:p>
        </w:tc>
        <w:tc>
          <w:tcPr>
            <w:tcW w:type="dxa" w:w="1435"/>
          </w:tcPr>
          <w:p>
            <w:r>
              <w:t>Nuray</w:t>
            </w:r>
          </w:p>
        </w:tc>
        <w:tc>
          <w:tcPr>
            <w:tcW w:type="dxa" w:w="923"/>
          </w:tcPr>
          <w:p>
            <w:r>
              <w:t>20 Oct 2026</w:t>
            </w:r>
          </w:p>
        </w:tc>
        <w:tc>
          <w:tcPr>
            <w:tcW w:type="dxa" w:w="2361"/>
          </w:tcPr>
          <w:p>
            <w:r>
              <w:t>Five systems compared using ten criteria and sources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MED-7 Technology comparison and ADRs (Section 5)</w:t>
            </w:r>
          </w:p>
        </w:tc>
        <w:tc>
          <w:tcPr>
            <w:tcW w:type="dxa" w:w="1435"/>
          </w:tcPr>
          <w:p>
            <w:r>
              <w:t>Nuray</w:t>
            </w:r>
          </w:p>
        </w:tc>
        <w:tc>
          <w:tcPr>
            <w:tcW w:type="dxa" w:w="923"/>
          </w:tcPr>
          <w:p>
            <w:r>
              <w:t>20 Oct 2026</w:t>
            </w:r>
          </w:p>
        </w:tc>
        <w:tc>
          <w:tcPr>
            <w:tcW w:type="dxa" w:w="2361"/>
          </w:tcPr>
          <w:p>
            <w:r>
              <w:t>Six technology decisions and rationale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MED-8 Requirements specification with acceptance criteria</w:t>
            </w:r>
          </w:p>
        </w:tc>
        <w:tc>
          <w:tcPr>
            <w:tcW w:type="dxa" w:w="1435"/>
          </w:tcPr>
          <w:p>
            <w:r>
              <w:t>Nuray</w:t>
            </w:r>
          </w:p>
        </w:tc>
        <w:tc>
          <w:tcPr>
            <w:tcW w:type="dxa" w:w="923"/>
          </w:tcPr>
          <w:p>
            <w:r>
              <w:t>21 Oct 2026</w:t>
            </w:r>
          </w:p>
        </w:tc>
        <w:tc>
          <w:tcPr>
            <w:tcW w:type="dxa" w:w="2361"/>
          </w:tcPr>
          <w:p>
            <w:r>
              <w:t>FR-01–FR-46; NFR-01–NFR-22; task assignee per YouTrack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MED-9 System context and component diagrams</w:t>
            </w:r>
          </w:p>
        </w:tc>
        <w:tc>
          <w:tcPr>
            <w:tcW w:type="dxa" w:w="1435"/>
          </w:tcPr>
          <w:p>
            <w:r>
              <w:t>Altynay</w:t>
            </w:r>
          </w:p>
        </w:tc>
        <w:tc>
          <w:tcPr>
            <w:tcW w:type="dxa" w:w="923"/>
          </w:tcPr>
          <w:p>
            <w:r>
              <w:t>21 Oct 2026</w:t>
            </w:r>
          </w:p>
        </w:tc>
        <w:tc>
          <w:tcPr>
            <w:tcW w:type="dxa" w:w="2361"/>
          </w:tcPr>
          <w:p>
            <w:r>
              <w:t>Editable sources and image exports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MED-10 UI mockups for key scenarios</w:t>
            </w:r>
          </w:p>
        </w:tc>
        <w:tc>
          <w:tcPr>
            <w:tcW w:type="dxa" w:w="1435"/>
          </w:tcPr>
          <w:p>
            <w:r>
              <w:t>Aknur</w:t>
            </w:r>
          </w:p>
        </w:tc>
        <w:tc>
          <w:tcPr>
            <w:tcW w:type="dxa" w:w="923"/>
          </w:tcPr>
          <w:p>
            <w:r>
              <w:t>22 Oct 2026</w:t>
            </w:r>
          </w:p>
        </w:tc>
        <w:tc>
          <w:tcPr>
            <w:tcW w:type="dxa" w:w="2361"/>
          </w:tcPr>
          <w:p>
            <w:r>
              <w:t>UI mockups and supporting prototype materials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MED-11 Verification and evaluation plan</w:t>
            </w:r>
          </w:p>
        </w:tc>
        <w:tc>
          <w:tcPr>
            <w:tcW w:type="dxa" w:w="1435"/>
          </w:tcPr>
          <w:p>
            <w:r>
              <w:t>Altynay</w:t>
            </w:r>
          </w:p>
        </w:tc>
        <w:tc>
          <w:tcPr>
            <w:tcW w:type="dxa" w:w="923"/>
          </w:tcPr>
          <w:p>
            <w:r>
              <w:t>21 Oct 2026</w:t>
            </w:r>
          </w:p>
        </w:tc>
        <w:tc>
          <w:tcPr>
            <w:tcW w:type="dxa" w:w="2361"/>
          </w:tcPr>
          <w:p>
            <w:r>
              <w:t>Evaluation plan and QA review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MED-12 Data pilot: sample and RxNorm API</w:t>
            </w:r>
          </w:p>
        </w:tc>
        <w:tc>
          <w:tcPr>
            <w:tcW w:type="dxa" w:w="1435"/>
          </w:tcPr>
          <w:p>
            <w:r>
              <w:t>Aknur</w:t>
            </w:r>
          </w:p>
        </w:tc>
        <w:tc>
          <w:tcPr>
            <w:tcW w:type="dxa" w:w="923"/>
          </w:tcPr>
          <w:p>
            <w:r>
              <w:t>23 Oct 2026</w:t>
            </w:r>
          </w:p>
        </w:tc>
        <w:tc>
          <w:tcPr>
            <w:tcW w:type="dxa" w:w="2361"/>
          </w:tcPr>
          <w:p>
            <w:r>
              <w:t>Pilot data and drug-name normalisation evidence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MED-13 Rule-base pilot: DDInter data</w:t>
            </w:r>
          </w:p>
        </w:tc>
        <w:tc>
          <w:tcPr>
            <w:tcW w:type="dxa" w:w="1435"/>
          </w:tcPr>
          <w:p>
            <w:r>
              <w:t>Altynay</w:t>
            </w:r>
          </w:p>
        </w:tc>
        <w:tc>
          <w:tcPr>
            <w:tcW w:type="dxa" w:w="923"/>
          </w:tcPr>
          <w:p>
            <w:r>
              <w:t>23 Oct 2026</w:t>
            </w:r>
          </w:p>
        </w:tc>
        <w:tc>
          <w:tcPr>
            <w:tcW w:type="dxa" w:w="2361"/>
          </w:tcPr>
          <w:p>
            <w:r>
              <w:t>Curated records and traceable sources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MED-14 Supervisor review and submission tag</w:t>
            </w:r>
          </w:p>
        </w:tc>
        <w:tc>
          <w:tcPr>
            <w:tcW w:type="dxa" w:w="1435"/>
          </w:tcPr>
          <w:p>
            <w:r>
              <w:t>Nuray</w:t>
            </w:r>
          </w:p>
        </w:tc>
        <w:tc>
          <w:tcPr>
            <w:tcW w:type="dxa" w:w="923"/>
          </w:tcPr>
          <w:p>
            <w:r>
              <w:t>24 Oct 2026, 18:00</w:t>
            </w:r>
          </w:p>
        </w:tc>
        <w:tc>
          <w:tcPr>
            <w:tcW w:type="dxa" w:w="2361"/>
          </w:tcPr>
          <w:p>
            <w:r>
              <w:t>Supervisor feedback and pre-defense-1 tag, subject to submission confirmation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MED-16 Evidence of relevance with physician interview P1</w:t>
            </w:r>
          </w:p>
        </w:tc>
        <w:tc>
          <w:tcPr>
            <w:tcW w:type="dxa" w:w="1435"/>
          </w:tcPr>
          <w:p>
            <w:r>
              <w:t>Aknur</w:t>
            </w:r>
          </w:p>
        </w:tc>
        <w:tc>
          <w:tcPr>
            <w:tcW w:type="dxa" w:w="923"/>
          </w:tcPr>
          <w:p>
            <w:r>
              <w:t>24 Oct 2026</w:t>
            </w:r>
          </w:p>
        </w:tc>
        <w:tc>
          <w:tcPr>
            <w:tcW w:type="dxa" w:w="2361"/>
          </w:tcPr>
          <w:p>
            <w:r>
              <w:t>Anonymised interview evidence and consent kept outside repository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MED-17 Use Case diagram (Section 7.2)</w:t>
            </w:r>
          </w:p>
        </w:tc>
        <w:tc>
          <w:tcPr>
            <w:tcW w:type="dxa" w:w="1435"/>
          </w:tcPr>
          <w:p>
            <w:r>
              <w:t>Aknur</w:t>
            </w:r>
          </w:p>
        </w:tc>
        <w:tc>
          <w:tcPr>
            <w:tcW w:type="dxa" w:w="923"/>
          </w:tcPr>
          <w:p>
            <w:r>
              <w:t>24 Oct 2026</w:t>
            </w:r>
          </w:p>
        </w:tc>
        <w:tc>
          <w:tcPr>
            <w:tcW w:type="dxa" w:w="2361"/>
          </w:tcPr>
          <w:p>
            <w:r>
              <w:t>Use case catalogue and editable diagram</w:t>
            </w:r>
          </w:p>
        </w:tc>
      </w:tr>
      <w:tr>
        <w:trPr>
          <w:cantSplit/>
        </w:trPr>
        <w:tc>
          <w:tcPr>
            <w:tcW w:type="dxa" w:w="4307"/>
          </w:tcPr>
          <w:p>
            <w:r>
              <w:t>MED-18 UI prototype for three roles</w:t>
            </w:r>
          </w:p>
        </w:tc>
        <w:tc>
          <w:tcPr>
            <w:tcW w:type="dxa" w:w="1435"/>
          </w:tcPr>
          <w:p>
            <w:r>
              <w:t>Aknur</w:t>
            </w:r>
          </w:p>
        </w:tc>
        <w:tc>
          <w:tcPr>
            <w:tcW w:type="dxa" w:w="923"/>
          </w:tcPr>
          <w:p>
            <w:r>
              <w:t>24 Oct 2026</w:t>
            </w:r>
          </w:p>
        </w:tc>
        <w:tc>
          <w:tcPr>
            <w:tcW w:type="dxa" w:w="2361"/>
          </w:tcPr>
          <w:p>
            <w:r>
              <w:t>22-page prototype and traceability mapping</w:t>
            </w:r>
          </w:p>
        </w:tc>
      </w:tr>
    </w:tbl>
    <w:p w14:paraId="395F28C9" w14:textId="77777777" w:rsidR="00992AB9" w:rsidRDefault="00992AB9" w:rsidP="00992AB9">
      <w:pPr>
        <w:spacing w:after="80"/>
      </w:pPr>
    </w:p>
    <w:p w14:paraId="12AC783F" w14:textId="77777777" w:rsidR="00992AB9" w:rsidRDefault="00992AB9" w:rsidP="00992AB9">
      <w:pPr>
        <w:pStyle w:val="2"/>
      </w:pPr>
      <w:r>
        <w:t>10.</w:t>
      </w:r>
      <w:r>
        <w:rPr>
          <w:lang w:val="ru-RU"/>
        </w:rPr>
        <w:t>4</w:t>
      </w:r>
      <w:r>
        <w:t xml:space="preserve"> Risks</w:t>
      </w:r>
    </w:p>
    <w:p w14:paraId="7D8DB876" w14:textId="77777777" w:rsidR="00992AB9" w:rsidRDefault="00992AB9" w:rsidP="00992AB9">
      <w:pPr>
        <w:keepNext/>
        <w:spacing w:before="160" w:after="80"/>
      </w:pPr>
      <w:r>
        <w:rPr>
          <w:b/>
          <w:bCs/>
          <w:sz w:val="20"/>
          <w:szCs w:val="20"/>
        </w:rPr>
        <w:t>Table 10.1. Risk register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"/>
        <w:gridCol w:w="2666"/>
        <w:gridCol w:w="1025"/>
        <w:gridCol w:w="923"/>
        <w:gridCol w:w="3900"/>
      </w:tblGrid>
      <w:tr w:rsidR="00992AB9" w14:paraId="13426D99" w14:textId="77777777" w:rsidTr="003670C3">
        <w:trPr>
          <w:tblHeader/>
          <w:tblHeader w:val="true"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A942F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ID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39895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Risk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146DF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Probability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8C270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Impact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822F9" w14:textId="77777777" w:rsidR="00992AB9" w:rsidRDefault="00992AB9" w:rsidP="003670C3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Mitigation</w:t>
            </w:r>
          </w:p>
        </w:tc>
      </w:tr>
      <w:tr w:rsidR="00992AB9" w14:paraId="36BC44DE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33077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R1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733AD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Medical complexity exceeds team expertise; incorrect rules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DE9E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643A5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DE9E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DFBF1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70EB7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Narrow scope to 4 drug groups; rules come only from DDInter and labels, never invented; expert review of a sample; position as decision support</w:t>
            </w:r>
          </w:p>
        </w:tc>
      </w:tr>
      <w:tr w:rsidR="00992AB9" w14:paraId="6175BBE8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ACFF0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R2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81B7C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No access to clinicians for interviews or expert review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309BC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DE9E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95925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Physician interview P1 completed; seek additional expert review where feasible; distinguish verified evidence from assumptions and document limitations.</w:t>
            </w:r>
          </w:p>
        </w:tc>
      </w:tr>
      <w:tr w:rsidR="00992AB9" w14:paraId="771F69A0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6A133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R3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30D47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LLM hallucinations in explanations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DE9E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117E9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F2B8D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674E5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LLM cannot create alerts; support check; fallback to rule text; measured hallucination rate</w:t>
            </w:r>
          </w:p>
        </w:tc>
      </w:tr>
      <w:tr w:rsidR="00992AB9" w14:paraId="61A78E3A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429AC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R4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F596B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External APIs unavailable or rate-limited (RxNav, openFDA)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61E9C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11E1D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Cache external drug-reference responses and prepare versioned local label snapshots before runtime; no patient data sent to external APIs.</w:t>
            </w:r>
          </w:p>
        </w:tc>
      </w:tr>
      <w:tr w:rsidR="00992AB9" w14:paraId="70AFBF5F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82FAB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R5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9A2D6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Insufficient hardware for local LLM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8E559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3800C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Use quantised local models or smaller extraction models; benchmark hardware and latency. Hosted APIs, if compared experimentally, receive synthetic data only.</w:t>
            </w:r>
          </w:p>
        </w:tc>
      </w:tr>
      <w:tr w:rsidR="00992AB9" w14:paraId="47C8B5AD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D9500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R6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59F3A6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Synthetic notes too simple; NLP results overestimated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4E831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C852F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E0668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LLM paraphrasing, abbreviations and typos added; manual realistic notes subset; report limitation</w:t>
            </w:r>
          </w:p>
        </w:tc>
      </w:tr>
      <w:tr w:rsidR="00992AB9" w14:paraId="710A1AD5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E7BEB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R7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4F0EA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Licensing of knowledge sources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EEF7EE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B154E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Low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DE9E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D1213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B3A58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Use DDInter (CC BY-NC-SA, non-commercial), public-domain FDA labels, NLM terms; attribute sources in UI and thesis</w:t>
            </w:r>
          </w:p>
        </w:tc>
      </w:tr>
      <w:tr w:rsidR="00992AB9" w14:paraId="198604D3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4478E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R8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9D4E6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Uneven workload or member unavailable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94BE0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0C5C9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Weekly team sync, YouTrack board, secondary owners and cross-review of pull requests.</w:t>
            </w:r>
          </w:p>
        </w:tc>
      </w:tr>
      <w:tr w:rsidR="00992AB9" w14:paraId="5E006E7C" w14:textId="77777777" w:rsidTr="003670C3">
        <w:trPr>
          <w:cantSplit/>
          <w:cantSplit/>
        </w:trPr>
        <w:tc>
          <w:tcPr>
            <w:tcW w:w="512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3D14B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R9</w:t>
            </w:r>
          </w:p>
        </w:tc>
        <w:tc>
          <w:tcPr>
            <w:tcW w:w="2666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Scope creep (additional drug groups or production EHR integration)</w:t>
            </w:r>
          </w:p>
        </w:tc>
        <w:tc>
          <w:tcPr>
            <w:tcW w:w="1025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C1B7D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923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shd w:val="clear" w:color="auto" w:fill="FEF3E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79074" w14:textId="77777777" w:rsidR="00992AB9" w:rsidRDefault="00992AB9" w:rsidP="003670C3">
            <w:pPr>
              <w:spacing w:after="20" w:line="252" w:lineRule="auto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3900" w:type="dxa"/>
            <w:tcBorders>
              <w:top w:val="single" w:sz="4" w:space="0" w:color="A6B4C4"/>
              <w:left w:val="single" w:sz="4" w:space="0" w:color="A6B4C4"/>
              <w:bottom w:val="single" w:sz="4" w:space="0" w:color="A6B4C4"/>
              <w:right w:val="single" w:sz="4" w:space="0" w:color="A6B4C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t>Require supervisor approval for scope changes; keep the agreed desktop web scope and Telegram reminders.</w:t>
            </w:r>
          </w:p>
        </w:tc>
      </w:tr>
    </w:tbl>
    <w:p w14:paraId="519B725F" w14:textId="77777777" w:rsidR="00992AB9" w:rsidRPr="009715C1" w:rsidRDefault="00992AB9" w:rsidP="00992AB9">
      <w:pPr>
        <w:spacing w:after="80"/>
        <w:rPr>
          <w:lang w:val="en-US"/>
        </w:rPr>
      </w:pPr>
    </w:p>
    <w:p w14:paraId="537F92DB" w14:textId="77777777" w:rsidR="00992AB9" w:rsidRDefault="00992AB9" w:rsidP="00992AB9">
      <w:pPr>
        <w:pStyle w:val="2"/>
      </w:pPr>
      <w:r>
        <w:t>10.</w:t>
      </w:r>
      <w:r>
        <w:rPr>
          <w:lang w:val="ru-RU"/>
        </w:rPr>
        <w:t>5</w:t>
      </w:r>
      <w:r>
        <w:t xml:space="preserve"> Dependencies</w:t>
      </w:r>
    </w:p>
    <w:p w14:paraId="6031CE6C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Team-generated synthetic patient database and reproducible generation scripts (fixed random seed); no Synthea import in the product.</w:t>
      </w:r>
    </w:p>
    <w:p w14:paraId="71C8F087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RxNorm/RxNav (NLM) for drug-name normalisation and reference data; cache approved responses; no patient information is sent.</w:t>
      </w:r>
    </w:p>
    <w:p w14:paraId="44C06F71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openFDA Drug Label and DailyMed as sources for offline label ingestion and local, versioned snapshots.</w:t>
      </w:r>
    </w:p>
    <w:p w14:paraId="25801A65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DDInter 2.0 (CC BY-NC-SA 4.0) for offline rule-base preparation, subject to attribution and licence terms.</w:t>
      </w:r>
    </w:p>
    <w:p w14:paraId="3E814E16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Local LLM runtime (e.g. Ollama/vLLM) and adequate CPU/GPU/RAM; patient text remains within the clinic deployment.</w:t>
      </w:r>
    </w:p>
    <w:p w14:paraId="019D8115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Anonymised physician interview P1 and any additional clinicians or pharmacists available for expert validation; consent records kept outside the repository.</w:t>
      </w:r>
    </w:p>
    <w:p w14:paraId="126DA300" w14:textId="77777777" w:rsidR="00992AB9" w:rsidRDefault="00992AB9" w:rsidP="00992AB9">
      <w:pPr>
        <w:pStyle w:val="a7"/>
        <w:numPr>
          <w:ilvl w:val="0"/>
          <w:numId w:val="1"/>
        </w:numPr>
        <w:spacing w:after="60" w:line="276" w:lineRule="auto"/>
        <w:contextualSpacing w:val="0"/>
      </w:pPr>
      <w:r>
        <w:t>Supervisor availability for weekly reviews.</w:t>
      </w:r>
    </w:p>
    <w:p w14:paraId="57C7FB28" w14:textId="77777777" w:rsidR="004D5CF3" w:rsidRDefault="004D5CF3"/>
    <w:sectPr w:rsidR="004D5C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8375865"/>
    <w:multiLevelType w:val="hybridMultilevel"/>
    <w:tmpl w:val="D6700D5C"/>
    <w:lvl w:ilvl="0" w:tplc="D91495A8">
      <w:start w:val="1"/>
      <w:numFmt w:val="bullet"/>
      <w:lvlText w:val="•"/>
      <w:lvlJc w:val="left"/>
      <w:pPr>
        <w:ind w:left="567" w:hanging="283"/>
      </w:pPr>
    </w:lvl>
    <w:lvl w:ilvl="1" w:tplc="F7BC7312">
      <w:start w:val="1"/>
      <w:numFmt w:val="bullet"/>
      <w:lvlText w:val="–"/>
      <w:lvlJc w:val="left"/>
      <w:pPr>
        <w:ind w:left="1134" w:hanging="283"/>
      </w:pPr>
    </w:lvl>
    <w:lvl w:ilvl="2" w:tplc="068CAD10">
      <w:numFmt w:val="decimal"/>
      <w:lvlText w:val=""/>
      <w:lvlJc w:val="left"/>
    </w:lvl>
    <w:lvl w:ilvl="3" w:tplc="F2426EF0">
      <w:numFmt w:val="decimal"/>
      <w:lvlText w:val=""/>
      <w:lvlJc w:val="left"/>
    </w:lvl>
    <w:lvl w:ilvl="4" w:tplc="6AA22C8A">
      <w:numFmt w:val="decimal"/>
      <w:lvlText w:val=""/>
      <w:lvlJc w:val="left"/>
    </w:lvl>
    <w:lvl w:ilvl="5" w:tplc="30A45FC2">
      <w:numFmt w:val="decimal"/>
      <w:lvlText w:val=""/>
      <w:lvlJc w:val="left"/>
    </w:lvl>
    <w:lvl w:ilvl="6" w:tplc="09E8590C">
      <w:numFmt w:val="decimal"/>
      <w:lvlText w:val=""/>
      <w:lvlJc w:val="left"/>
    </w:lvl>
    <w:lvl w:ilvl="7" w:tplc="9470FA22">
      <w:numFmt w:val="decimal"/>
      <w:lvlText w:val=""/>
      <w:lvlJc w:val="left"/>
    </w:lvl>
    <w:lvl w:ilvl="8" w:tplc="918E8A04">
      <w:numFmt w:val="decimal"/>
      <w:lvlText w:val=""/>
      <w:lvlJc w:val="left"/>
    </w:lvl>
  </w:abstractNum>
  <w:num w:numId="1" w16cid:durableId="13588943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AB9"/>
    <w:rsid w:val="004A4F92"/>
    <w:rsid w:val="004D5CF3"/>
    <w:rsid w:val="00550CC5"/>
    <w:rsid w:val="0068304A"/>
    <w:rsid w:val="00992AB9"/>
    <w:rsid w:val="00C81D36"/>
    <w:rsid w:val="00CA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B228ADE"/>
  <w15:chartTrackingRefBased/>
  <w15:docId w15:val="{A72627E4-778C-7744-8C1F-E9D1523CE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AB9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92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92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92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2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2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2A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2A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2A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2A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2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2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92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2AB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2AB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2A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2A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2A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2A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2A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2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2A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2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2A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2AB9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992A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2AB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2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2AB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92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931</Words>
  <Characters>5310</Characters>
  <Application>Microsoft Office Word</Application>
  <DocSecurity>0</DocSecurity>
  <Lines>44</Lines>
  <Paragraphs>12</Paragraphs>
  <ScaleCrop>false</ScaleCrop>
  <Company/>
  <LinksUpToDate>false</LinksUpToDate>
  <CharactersWithSpaces>6229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Nuray Nuraly</dc:creator>
  <cp:keywords/>
  <dc:description/>
  <cp:lastModifiedBy>Nuray Nuraly</cp:lastModifiedBy>
  <cp:revision>1</cp:revision>
  <dcterms:created xsi:type="dcterms:W3CDTF">2026-10-23T12:36:00Z</dcterms:created>
  <dcterms:modified xsi:type="dcterms:W3CDTF">2026-10-23T12:37:00Z</dcterms:modified>
</cp:coreProperties>
</file>