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Times New Roman" w:cs="Times New Roman" w:eastAsia="Times New Roman" w:hAnsi="Times New Roman"/>
          <w:i/>
          <w:iCs/>
          <w:color w:val="000000"/>
          <w:sz w:val="20"/>
          <w:szCs w:val="20"/>
        </w:rPr>
        <w:t xml:space="preserve">Development of an Intelligent System for Medication Safety Assessment Based on Patient Medical History</w:t>
      </w:r>
    </w:p>
    <w:p>
      <w:pPr>
        <w:pStyle w:val="Heading1"/>
      </w:pPr>
      <w:r>
        <w:rPr>
          <w:rFonts w:ascii="Times New Roman" w:cs="Times New Roman" w:eastAsia="Times New Roman" w:hAnsi="Times New Roman"/>
        </w:rPr>
        <w:t xml:space="preserve">3. Literature Review</w:t>
      </w:r>
    </w:p>
    <w:p>
      <w:pPr>
        <w:pStyle w:val="Heading2"/>
      </w:pPr>
      <w:r>
        <w:rPr>
          <w:rFonts w:ascii="Times New Roman" w:cs="Times New Roman" w:eastAsia="Times New Roman" w:hAnsi="Times New Roman"/>
        </w:rPr>
        <w:t xml:space="preserve">3.1 Method</w:t>
      </w:r>
    </w:p>
    <w:p>
      <w:pPr>
        <w:spacing w:after="120" w:line="288"/>
        <w:jc w:val="both"/>
      </w:pPr>
      <w:r>
        <w:rPr>
          <w:rFonts w:ascii="Times New Roman" w:cs="Times New Roman" w:eastAsia="Times New Roman" w:hAnsi="Times New Roman"/>
        </w:rPr>
        <w:t xml:space="preserve">Sources were searched in PubMed, Google Scholar, the ACL Anthology and publisher sites with combinations of the terms “drug-drug interaction”, “clinical decision support”, “alert override”, “alert fatigue”, “medication extraction”, “large language model”, “retrieval-augmented generation”, “hallucination”, “synthetic EHR”, “RxNorm”, “medication adherence app” and “explainability”. Inclusion criteria: peer-reviewed or official sources; relevance to at least one component of the system; publication in 2020–2026 for fast-moving topics (LLM, RAG, adherence apps), while foundational works were kept for stable topics (RxNorm, Synthea, alert override, regimen complexity). Searches were run in October 2026; each source was read for its key result and its limitation for this project, and bibliographic data and key figures were checked against Crossref records and abstracts on 20 October 2026. The review draws on 30 peer-reviewed scientific publications (24 of them from 2020–2025, 19 from the last five years, 2021–2025) and 6 official documents and data-source specifications; Table 3.1 summarises the core ones.</w:t>
      </w:r>
    </w:p>
    <w:p>
      <w:pPr>
        <w:pStyle w:val="Heading2"/>
      </w:pPr>
      <w:r>
        <w:rPr>
          <w:rFonts w:ascii="Times New Roman" w:cs="Times New Roman" w:eastAsia="Times New Roman" w:hAnsi="Times New Roman"/>
        </w:rPr>
        <w:t xml:space="preserve">3.2 Medication-related harm: the size of the problem</w:t>
      </w:r>
    </w:p>
    <w:p>
      <w:pPr>
        <w:spacing w:after="120" w:line="288"/>
        <w:jc w:val="both"/>
      </w:pPr>
      <w:r>
        <w:rPr>
          <w:rFonts w:ascii="Times New Roman" w:cs="Times New Roman" w:eastAsia="Times New Roman" w:hAnsi="Times New Roman"/>
        </w:rPr>
        <w:t xml:space="preserve">WHO’s Global Patient Safety Challenge estimates the global cost of medication errors at about USD 42 billion per year and targets a 50 % reduction of severe avoidable medication-related harm [</w:t>
      </w:r>
      <w:hyperlink w:history="1" w:anchor="ref1">
        <w:r>
          <w:rPr>
            <w:rFonts w:ascii="Times New Roman" w:cs="Times New Roman" w:eastAsia="Times New Roman" w:hAnsi="Times New Roman"/>
            <w:color w:val="000000"/>
          </w:rPr>
          <w:t xml:space="preserve">1</w:t>
        </w:r>
      </w:hyperlink>
      <w:r>
        <w:rPr>
          <w:rFonts w:ascii="Times New Roman" w:cs="Times New Roman" w:eastAsia="Times New Roman" w:hAnsi="Times New Roman"/>
        </w:rPr>
        <w:t xml:space="preserve">]. Meta-analyses show that preventable patient harm affects about 6 % of patients, with drug incidents among the largest categories (about a quarter of preventable harm) [</w:t>
      </w:r>
      <w:hyperlink w:history="1" w:anchor="ref2">
        <w:r>
          <w:rPr>
            <w:rFonts w:ascii="Times New Roman" w:cs="Times New Roman" w:eastAsia="Times New Roman" w:hAnsi="Times New Roman"/>
            <w:color w:val="000000"/>
          </w:rPr>
          <w:t xml:space="preserve">2</w:t>
        </w:r>
      </w:hyperlink>
      <w:r>
        <w:rPr>
          <w:rFonts w:ascii="Times New Roman" w:cs="Times New Roman" w:eastAsia="Times New Roman" w:hAnsi="Times New Roman"/>
        </w:rPr>
        <w:t xml:space="preserve">], and that preventable medication harm affects roughly one patient in thirty, more than a quarter of it (26 %) severe or life-threatening, with prescribing and monitoring as the most frequent stages [</w:t>
      </w:r>
      <w:hyperlink w:history="1" w:anchor="ref3">
        <w:r>
          <w:rPr>
            <w:rFonts w:ascii="Times New Roman" w:cs="Times New Roman" w:eastAsia="Times New Roman" w:hAnsi="Times New Roman"/>
            <w:color w:val="000000"/>
          </w:rPr>
          <w:t xml:space="preserve">3</w:t>
        </w:r>
      </w:hyperlink>
      <w:r>
        <w:rPr>
          <w:rFonts w:ascii="Times New Roman" w:cs="Times New Roman" w:eastAsia="Times New Roman" w:hAnsi="Times New Roman"/>
        </w:rPr>
        <w:t xml:space="preserve">]. A 2023 record review of 2,809 admissions in 11 Massachusetts hospitals found at least one adverse event in 23.6 % of admissions, with adverse drug events the most common type (39 % of events) [</w:t>
      </w:r>
      <w:hyperlink w:history="1" w:anchor="ref4">
        <w:r>
          <w:rPr>
            <w:rFonts w:ascii="Times New Roman" w:cs="Times New Roman" w:eastAsia="Times New Roman" w:hAnsi="Times New Roman"/>
            <w:color w:val="000000"/>
          </w:rPr>
          <w:t xml:space="preserve">4</w:t>
        </w:r>
      </w:hyperlink>
      <w:r>
        <w:rPr>
          <w:rFonts w:ascii="Times New Roman" w:cs="Times New Roman" w:eastAsia="Times New Roman" w:hAnsi="Times New Roman"/>
        </w:rPr>
        <w:t xml:space="preserve">]. Local data point in the same direction: in a 2025 survey of 1,125 patients in Kazakhstan, 91.5 % were non-adherent to antihypertensive therapy, with the number of medicines among the associated factors [</w:t>
      </w:r>
      <w:hyperlink w:history="1" w:anchor="ref5">
        <w:r>
          <w:rPr>
            <w:rFonts w:ascii="Times New Roman" w:cs="Times New Roman" w:eastAsia="Times New Roman" w:hAnsi="Times New Roman"/>
            <w:color w:val="000000"/>
          </w:rPr>
          <w:t xml:space="preserve">5</w:t>
        </w:r>
      </w:hyperlink>
      <w:r>
        <w:rPr>
          <w:rFonts w:ascii="Times New Roman" w:cs="Times New Roman" w:eastAsia="Times New Roman" w:hAnsi="Times New Roman"/>
        </w:rPr>
        <w:t xml:space="preserve">], and the first nationwide point-prevalence survey (26 hospitals, 8,076 patients) found 40.2 % of patients receiving antimicrobials [</w:t>
      </w:r>
      <w:hyperlink w:history="1" w:anchor="ref6">
        <w:r>
          <w:rPr>
            <w:rFonts w:ascii="Times New Roman" w:cs="Times New Roman" w:eastAsia="Times New Roman" w:hAnsi="Times New Roman"/>
            <w:color w:val="000000"/>
          </w:rPr>
          <w:t xml:space="preserve">6</w:t>
        </w:r>
      </w:hyperlink>
      <w:r>
        <w:rPr>
          <w:rFonts w:ascii="Times New Roman" w:cs="Times New Roman" w:eastAsia="Times New Roman" w:hAnsi="Times New Roman"/>
        </w:rPr>
        <w:t xml:space="preserve">]; both drug groups are in the scope of this project. These studies justify placing the check at the moment of prescribing; their limitation for this project is that they measure the problem, not the effect of any particular software.</w:t>
      </w:r>
    </w:p>
    <w:p>
      <w:pPr>
        <w:pStyle w:val="Heading2"/>
      </w:pPr>
      <w:r>
        <w:rPr>
          <w:rFonts w:ascii="Times New Roman" w:cs="Times New Roman" w:eastAsia="Times New Roman" w:hAnsi="Times New Roman"/>
        </w:rPr>
        <w:t xml:space="preserve">3.3 Drug-interaction alerts and alert fatigue</w:t>
      </w:r>
    </w:p>
    <w:p>
      <w:pPr>
        <w:spacing w:after="120" w:line="288"/>
        <w:jc w:val="both"/>
      </w:pPr>
      <w:r>
        <w:rPr>
          <w:rFonts w:ascii="Times New Roman" w:cs="Times New Roman" w:eastAsia="Times New Roman" w:hAnsi="Times New Roman"/>
        </w:rPr>
        <w:t xml:space="preserve">Computerised prescriber order entry with interaction alerts is the established response, but alerts are overridden very often: 49–96 % in the early review by van der Sijs et al. [</w:t>
      </w:r>
      <w:hyperlink w:history="1" w:anchor="ref7">
        <w:r>
          <w:rPr>
            <w:rFonts w:ascii="Times New Roman" w:cs="Times New Roman" w:eastAsia="Times New Roman" w:hAnsi="Times New Roman"/>
            <w:color w:val="000000"/>
          </w:rPr>
          <w:t xml:space="preserve">7</w:t>
        </w:r>
      </w:hyperlink>
      <w:r>
        <w:rPr>
          <w:rFonts w:ascii="Times New Roman" w:cs="Times New Roman" w:eastAsia="Times New Roman" w:hAnsi="Times New Roman"/>
        </w:rPr>
        <w:t xml:space="preserve">]. Later reviews confirm that overrides remain highly prevalent: 46–96 % across 23 studies, with 29–100 % of overrides judged clinically appropriate depending on the study and alert type, mostly for drug–allergy and duplication alerts, while overrides of drug–drug interaction alerts were mostly inappropriate [</w:t>
      </w:r>
      <w:hyperlink w:history="1" w:anchor="ref8">
        <w:r>
          <w:rPr>
            <w:rFonts w:ascii="Times New Roman" w:cs="Times New Roman" w:eastAsia="Times New Roman" w:hAnsi="Times New Roman"/>
            <w:color w:val="000000"/>
          </w:rPr>
          <w:t xml:space="preserve">8</w:t>
        </w:r>
      </w:hyperlink>
      <w:r>
        <w:rPr>
          <w:rFonts w:ascii="Times New Roman" w:cs="Times New Roman" w:eastAsia="Times New Roman" w:hAnsi="Times New Roman"/>
        </w:rPr>
        <w:t xml:space="preserve">]; a scoping review of 34 studies reported DDI-alert override rates of 55–98 %, driven by alerts lacking context and clinical relevance [</w:t>
      </w:r>
      <w:hyperlink w:history="1" w:anchor="ref9">
        <w:r>
          <w:rPr>
            <w:rFonts w:ascii="Times New Roman" w:cs="Times New Roman" w:eastAsia="Times New Roman" w:hAnsi="Times New Roman"/>
            <w:color w:val="000000"/>
          </w:rPr>
          <w:t xml:space="preserve">9</w:t>
        </w:r>
      </w:hyperlink>
      <w:r>
        <w:rPr>
          <w:rFonts w:ascii="Times New Roman" w:cs="Times New Roman" w:eastAsia="Times New Roman" w:hAnsi="Times New Roman"/>
        </w:rPr>
        <w:t xml:space="preserve">]. Low-value alerts therefore coexist with genuinely dangerous ones that are ignored. A 2024 systematic review of 32 intervention studies of medication-safety CDSS in primary and long-term care found significant effects in only 9 of 15 studies with process outcomes and 1 of 5 with harm outcomes, and called the evidence inconclusive [</w:t>
      </w:r>
      <w:hyperlink w:history="1" w:anchor="ref10">
        <w:r>
          <w:rPr>
            <w:rFonts w:ascii="Times New Roman" w:cs="Times New Roman" w:eastAsia="Times New Roman" w:hAnsi="Times New Roman"/>
            <w:color w:val="000000"/>
          </w:rPr>
          <w:t xml:space="preserve">10</w:t>
        </w:r>
      </w:hyperlink>
      <w:r>
        <w:rPr>
          <w:rFonts w:ascii="Times New Roman" w:cs="Times New Roman" w:eastAsia="Times New Roman" w:hAnsi="Times New Roman"/>
        </w:rPr>
        <w:t xml:space="preserve">]. The lesson for design is that </w:t>
      </w:r>
      <w:r>
        <w:rPr>
          <w:rFonts w:ascii="Times New Roman" w:cs="Times New Roman" w:eastAsia="Times New Roman" w:hAnsi="Times New Roman"/>
          <w:b/>
          <w:bCs/>
        </w:rPr>
        <w:t xml:space="preserve">more alerts are not better</w:t>
      </w:r>
      <w:r>
        <w:rPr>
          <w:rFonts w:ascii="Times New Roman" w:cs="Times New Roman" w:eastAsia="Times New Roman" w:hAnsi="Times New Roman"/>
        </w:rPr>
        <w:t xml:space="preserve">: alerts must be relevant to the specific patient, ranked by severity and explained, otherwise clinicians learn to ignore them. MedGuard therefore uses patient-specific checks, three severity levels with collapsed informational results, and shows the triggering patient factor for every alert. A limitation of this literature is that it comes from large commercial hospital systems. The physician interview at a university clinic in Kazakhstan (Section 2.2, participant P1) points the same way: the physician knows the effect of reminders that everyone closes without reading, asks for warnings split by risk level (red cannot be skipped, yellow is optional) and for no pop-ups on minor interactions.</w:t>
      </w:r>
    </w:p>
    <w:p>
      <w:pPr>
        <w:pStyle w:val="Heading2"/>
      </w:pPr>
      <w:r>
        <w:rPr>
          <w:rFonts w:ascii="Times New Roman" w:cs="Times New Roman" w:eastAsia="Times New Roman" w:hAnsi="Times New Roman"/>
        </w:rPr>
        <w:t xml:space="preserve">3.4 Drug-interaction knowledge sources</w:t>
      </w:r>
    </w:p>
    <w:p>
      <w:pPr>
        <w:spacing w:after="120" w:line="288"/>
        <w:jc w:val="both"/>
      </w:pPr>
      <w:r>
        <w:rPr>
          <w:rFonts w:ascii="Times New Roman" w:cs="Times New Roman" w:eastAsia="Times New Roman" w:hAnsi="Times New Roman"/>
        </w:rPr>
        <w:t xml:space="preserve">Interaction checkers depend on their knowledge base, and these differ substantially. Fung et al. found that 79 % of interacting pairs appeared in only one of three commercial knowledge bases and only 5 % in all three, although severity rankings of shared pairs agreed more often than not [</w:t>
      </w:r>
      <w:hyperlink w:history="1" w:anchor="ref11">
        <w:r>
          <w:rPr>
            <w:rFonts w:ascii="Times New Roman" w:cs="Times New Roman" w:eastAsia="Times New Roman" w:hAnsi="Times New Roman"/>
            <w:color w:val="000000"/>
          </w:rPr>
          <w:t xml:space="preserve">11</w:t>
        </w:r>
      </w:hyperlink>
      <w:r>
        <w:rPr>
          <w:rFonts w:ascii="Times New Roman" w:cs="Times New Roman" w:eastAsia="Times New Roman" w:hAnsi="Times New Roman"/>
        </w:rPr>
        <w:t xml:space="preserve">]; Kontsioti et al. found only 6,970 interactions common to BNF, the French Thesaurus and Micromedex (10.7–18.3 % of each resource’s pairs), with considerable variation in severity ratings and poor agreement on evidence ratings [</w:t>
      </w:r>
      <w:hyperlink w:history="1" w:anchor="ref12">
        <w:r>
          <w:rPr>
            <w:rFonts w:ascii="Times New Roman" w:cs="Times New Roman" w:eastAsia="Times New Roman" w:hAnsi="Times New Roman"/>
            <w:color w:val="000000"/>
          </w:rPr>
          <w:t xml:space="preserve">12</w:t>
        </w:r>
      </w:hyperlink>
      <w:r>
        <w:rPr>
          <w:rFonts w:ascii="Times New Roman" w:cs="Times New Roman" w:eastAsia="Times New Roman" w:hAnsi="Times New Roman"/>
        </w:rPr>
        <w:t xml:space="preserve">]. Free institutional APIs have also become scarcer: the NLM RxNav drug-interaction API was discontinued in January 2024 [</w:t>
      </w:r>
      <w:hyperlink w:history="1" w:anchor="ref13">
        <w:r>
          <w:rPr>
            <w:rFonts w:ascii="Times New Roman" w:cs="Times New Roman" w:eastAsia="Times New Roman" w:hAnsi="Times New Roman"/>
            <w:color w:val="000000"/>
          </w:rPr>
          <w:t xml:space="preserve">13</w:t>
        </w:r>
      </w:hyperlink>
      <w:r>
        <w:rPr>
          <w:rFonts w:ascii="Times New Roman" w:cs="Times New Roman" w:eastAsia="Times New Roman" w:hAnsi="Times New Roman"/>
        </w:rPr>
        <w:t xml:space="preserve">]. Open alternatives exist: DDInter 2.0 contains 302,516 drug–drug interaction records for 2,310 drugs, with severity levels and management notes, plus drug–disease and therapeutic-duplication records, available under a non-commercial licence [</w:t>
      </w:r>
      <w:hyperlink w:history="1" w:anchor="ref14">
        <w:r>
          <w:rPr>
            <w:rFonts w:ascii="Times New Roman" w:cs="Times New Roman" w:eastAsia="Times New Roman" w:hAnsi="Times New Roman"/>
            <w:color w:val="000000"/>
          </w:rPr>
          <w:t xml:space="preserve">14</w:t>
        </w:r>
      </w:hyperlink>
      <w:r>
        <w:rPr>
          <w:rFonts w:ascii="Times New Roman" w:cs="Times New Roman" w:eastAsia="Times New Roman" w:hAnsi="Times New Roman"/>
        </w:rPr>
        <w:t xml:space="preserve">], and FDA drug labels expose contraindications, warnings and drug-interaction sections through openFDA and DailyMed [</w:t>
      </w:r>
      <w:hyperlink w:history="1" w:anchor="ref15">
        <w:r>
          <w:rPr>
            <w:rFonts w:ascii="Times New Roman" w:cs="Times New Roman" w:eastAsia="Times New Roman" w:hAnsi="Times New Roman"/>
            <w:color w:val="000000"/>
          </w:rPr>
          <w:t xml:space="preserve">15</w:t>
        </w:r>
      </w:hyperlink>
      <w:r>
        <w:rPr>
          <w:rFonts w:ascii="Times New Roman" w:cs="Times New Roman" w:eastAsia="Times New Roman" w:hAnsi="Times New Roman"/>
        </w:rPr>
        <w:t xml:space="preserve">, </w:t>
      </w:r>
      <w:hyperlink w:history="1" w:anchor="ref16">
        <w:r>
          <w:rPr>
            <w:rFonts w:ascii="Times New Roman" w:cs="Times New Roman" w:eastAsia="Times New Roman" w:hAnsi="Times New Roman"/>
            <w:color w:val="000000"/>
          </w:rPr>
          <w:t xml:space="preserve">16</w:t>
        </w:r>
      </w:hyperlink>
      <w:r>
        <w:rPr>
          <w:rFonts w:ascii="Times New Roman" w:cs="Times New Roman" w:eastAsia="Times New Roman" w:hAnsi="Times New Roman"/>
        </w:rPr>
        <w:t xml:space="preserve">]. </w:t>
      </w:r>
      <w:r>
        <w:rPr>
          <w:rFonts w:ascii="Times New Roman" w:cs="Times New Roman" w:eastAsia="Times New Roman" w:hAnsi="Times New Roman"/>
          <w:b/>
          <w:bCs/>
        </w:rPr>
        <w:t xml:space="preserve">Implication:</w:t>
      </w:r>
      <w:r>
        <w:rPr>
          <w:rFonts w:ascii="Times New Roman" w:cs="Times New Roman" w:eastAsia="Times New Roman" w:hAnsi="Times New Roman"/>
        </w:rPr>
        <w:t xml:space="preserve"> no single source is “the truth”; MedGuard stores the source and version of every rule and shows it to the doctor.</w:t>
      </w:r>
    </w:p>
    <w:p>
      <w:pPr>
        <w:pStyle w:val="Heading2"/>
      </w:pPr>
      <w:r>
        <w:rPr>
          <w:rFonts w:ascii="Times New Roman" w:cs="Times New Roman" w:eastAsia="Times New Roman" w:hAnsi="Times New Roman"/>
        </w:rPr>
        <w:t xml:space="preserve">3.5 Extracting medication information from clinical text</w:t>
      </w:r>
    </w:p>
    <w:p>
      <w:pPr>
        <w:spacing w:after="120" w:line="288"/>
        <w:jc w:val="both"/>
      </w:pPr>
      <w:r>
        <w:rPr>
          <w:rFonts w:ascii="Times New Roman" w:cs="Times New Roman" w:eastAsia="Times New Roman" w:hAnsi="Times New Roman"/>
        </w:rPr>
        <w:t xml:space="preserve">A large part of the history is free text. In the 2018 n2c2 shared task, the best systems reached F1 0.94 for medication concept extraction and 0.89 end-to-end, while reasons and adverse events were harder [</w:t>
      </w:r>
      <w:hyperlink w:history="1" w:anchor="ref17">
        <w:r>
          <w:rPr>
            <w:rFonts w:ascii="Times New Roman" w:cs="Times New Roman" w:eastAsia="Times New Roman" w:hAnsi="Times New Roman"/>
            <w:color w:val="000000"/>
          </w:rPr>
          <w:t xml:space="preserve">17</w:t>
        </w:r>
      </w:hyperlink>
      <w:r>
        <w:rPr>
          <w:rFonts w:ascii="Times New Roman" w:cs="Times New Roman" w:eastAsia="Times New Roman" w:hAnsi="Times New Roman"/>
        </w:rPr>
        <w:t xml:space="preserve">]. LLMs can extract clinical information in few-shot settings without task-specific training [</w:t>
      </w:r>
      <w:hyperlink w:history="1" w:anchor="ref18">
        <w:r>
          <w:rPr>
            <w:rFonts w:ascii="Times New Roman" w:cs="Times New Roman" w:eastAsia="Times New Roman" w:hAnsi="Times New Roman"/>
            <w:color w:val="000000"/>
          </w:rPr>
          <w:t xml:space="preserve">18</w:t>
        </w:r>
      </w:hyperlink>
      <w:r>
        <w:rPr>
          <w:rFonts w:ascii="Times New Roman" w:cs="Times New Roman" w:eastAsia="Times New Roman" w:hAnsi="Times New Roman"/>
        </w:rPr>
        <w:t xml:space="preserve">], and structured prompts with annotation guidelines significantly improve GPT models for clinical NER, although a fine-tuned domain model was still better [</w:t>
      </w:r>
      <w:hyperlink w:history="1" w:anchor="ref19">
        <w:r>
          <w:rPr>
            <w:rFonts w:ascii="Times New Roman" w:cs="Times New Roman" w:eastAsia="Times New Roman" w:hAnsi="Times New Roman"/>
            <w:color w:val="000000"/>
          </w:rPr>
          <w:t xml:space="preserve">19</w:t>
        </w:r>
      </w:hyperlink>
      <w:r>
        <w:rPr>
          <w:rFonts w:ascii="Times New Roman" w:cs="Times New Roman" w:eastAsia="Times New Roman" w:hAnsi="Times New Roman"/>
        </w:rPr>
        <w:t xml:space="preserve">]. </w:t>
      </w:r>
      <w:r>
        <w:rPr>
          <w:rFonts w:ascii="Times New Roman" w:cs="Times New Roman" w:eastAsia="Times New Roman" w:hAnsi="Times New Roman"/>
          <w:b/>
          <w:bCs/>
        </w:rPr>
        <w:t xml:space="preserve">Implication:</w:t>
      </w:r>
      <w:r>
        <w:rPr>
          <w:rFonts w:ascii="Times New Roman" w:cs="Times New Roman" w:eastAsia="Times New Roman" w:hAnsi="Times New Roman"/>
        </w:rPr>
        <w:t xml:space="preserve"> an LLM with a fixed JSON schema is a practical extractor for a diploma project, but its output must be validated, normalised to RxNorm and confirmed by the doctor; a non-LLM extractor is kept as a baseline. Limitation: these benchmarks use English hospital notes, which differ from synthetic notes and from local records.</w:t>
      </w:r>
    </w:p>
    <w:p>
      <w:pPr>
        <w:pStyle w:val="Heading2"/>
      </w:pPr>
      <w:r>
        <w:rPr>
          <w:rFonts w:ascii="Times New Roman" w:cs="Times New Roman" w:eastAsia="Times New Roman" w:hAnsi="Times New Roman"/>
        </w:rPr>
        <w:t xml:space="preserve">3.6 Large language models for drug-interaction checking</w:t>
      </w:r>
    </w:p>
    <w:p>
      <w:pPr>
        <w:spacing w:after="120" w:line="288"/>
        <w:jc w:val="both"/>
      </w:pPr>
      <w:r>
        <w:rPr>
          <w:rFonts w:ascii="Times New Roman" w:cs="Times New Roman" w:eastAsia="Times New Roman" w:hAnsi="Times New Roman"/>
        </w:rPr>
        <w:t xml:space="preserve">Studies that asked four general chatbots to check interactions found accuracy of 0.469 (ChatGPT-3.5) to 0.788 (Bing AI) against Micromedex, with specificity as low as 0.372 [</w:t>
      </w:r>
      <w:hyperlink w:history="1" w:anchor="ref20">
        <w:r>
          <w:rPr>
            <w:rFonts w:ascii="Times New Roman" w:cs="Times New Roman" w:eastAsia="Times New Roman" w:hAnsi="Times New Roman"/>
            <w:color w:val="000000"/>
          </w:rPr>
          <w:t xml:space="preserve">20</w:t>
        </w:r>
      </w:hyperlink>
      <w:r>
        <w:rPr>
          <w:rFonts w:ascii="Times New Roman" w:cs="Times New Roman" w:eastAsia="Times New Roman" w:hAnsi="Times New Roman"/>
        </w:rPr>
        <w:t xml:space="preserve">]; ChatGPT answers were mostly correct but about half were inconclusive, and the authors called it only “partially effective” [</w:t>
      </w:r>
      <w:hyperlink w:history="1" w:anchor="ref21">
        <w:r>
          <w:rPr>
            <w:rFonts w:ascii="Times New Roman" w:cs="Times New Roman" w:eastAsia="Times New Roman" w:hAnsi="Times New Roman"/>
            <w:color w:val="000000"/>
          </w:rPr>
          <w:t xml:space="preserve">21</w:t>
        </w:r>
      </w:hyperlink>
      <w:r>
        <w:rPr>
          <w:rFonts w:ascii="Times New Roman" w:cs="Times New Roman" w:eastAsia="Times New Roman" w:hAnsi="Times New Roman"/>
        </w:rPr>
        <w:t xml:space="preserve">]. A 2025 study on 104 real adverse-reaction reports found that ChatGPT, Claude and Gemini detected 95–99 % of true interactions but with specificity of only 0.36–0.68, i.e. they also reported interactions that did not exist [</w:t>
      </w:r>
      <w:hyperlink w:history="1" w:anchor="ref22">
        <w:r>
          <w:rPr>
            <w:rFonts w:ascii="Times New Roman" w:cs="Times New Roman" w:eastAsia="Times New Roman" w:hAnsi="Times New Roman"/>
            <w:color w:val="000000"/>
          </w:rPr>
          <w:t xml:space="preserve">22</w:t>
        </w:r>
      </w:hyperlink>
      <w:r>
        <w:rPr>
          <w:rFonts w:ascii="Times New Roman" w:cs="Times New Roman" w:eastAsia="Times New Roman" w:hAnsi="Times New Roman"/>
        </w:rPr>
        <w:t xml:space="preserve">]. Hallucination, that is fluent text not supported by the source, is a known property of neural text generation [</w:t>
      </w:r>
      <w:hyperlink w:history="1" w:anchor="ref23">
        <w:r>
          <w:rPr>
            <w:rFonts w:ascii="Times New Roman" w:cs="Times New Roman" w:eastAsia="Times New Roman" w:hAnsi="Times New Roman"/>
            <w:color w:val="000000"/>
          </w:rPr>
          <w:t xml:space="preserve">23</w:t>
        </w:r>
      </w:hyperlink>
      <w:r>
        <w:rPr>
          <w:rFonts w:ascii="Times New Roman" w:cs="Times New Roman" w:eastAsia="Times New Roman" w:hAnsi="Times New Roman"/>
        </w:rPr>
        <w:t xml:space="preserve">]. </w:t>
      </w:r>
      <w:r>
        <w:rPr>
          <w:rFonts w:ascii="Times New Roman" w:cs="Times New Roman" w:eastAsia="Times New Roman" w:hAnsi="Times New Roman"/>
          <w:b/>
          <w:bCs/>
        </w:rPr>
        <w:t xml:space="preserve">Implication:</w:t>
      </w:r>
      <w:r>
        <w:rPr>
          <w:rFonts w:ascii="Times New Roman" w:cs="Times New Roman" w:eastAsia="Times New Roman" w:hAnsi="Times New Roman"/>
        </w:rPr>
        <w:t xml:space="preserve"> an LLM must not be the component that decides whether a dangerous combination exists. In MedGuard, LLM-only checking is used only as an experimental baseline (approach B).</w:t>
      </w:r>
    </w:p>
    <w:p>
      <w:pPr>
        <w:pStyle w:val="Heading2"/>
      </w:pPr>
      <w:r>
        <w:rPr>
          <w:rFonts w:ascii="Times New Roman" w:cs="Times New Roman" w:eastAsia="Times New Roman" w:hAnsi="Times New Roman"/>
        </w:rPr>
        <w:t xml:space="preserve">3.7 Retrieval-augmented generation in medicine</w:t>
      </w:r>
    </w:p>
    <w:p>
      <w:pPr>
        <w:spacing w:after="120" w:line="288"/>
        <w:jc w:val="both"/>
      </w:pPr>
      <w:r>
        <w:rPr>
          <w:rFonts w:ascii="Times New Roman" w:cs="Times New Roman" w:eastAsia="Times New Roman" w:hAnsi="Times New Roman"/>
        </w:rPr>
        <w:t xml:space="preserve">Retrieval-augmented generation combines a language model with retrieval from an external corpus [</w:t>
      </w:r>
      <w:hyperlink w:history="1" w:anchor="ref24">
        <w:r>
          <w:rPr>
            <w:rFonts w:ascii="Times New Roman" w:cs="Times New Roman" w:eastAsia="Times New Roman" w:hAnsi="Times New Roman"/>
            <w:color w:val="000000"/>
          </w:rPr>
          <w:t xml:space="preserve">24</w:t>
        </w:r>
      </w:hyperlink>
      <w:r>
        <w:rPr>
          <w:rFonts w:ascii="Times New Roman" w:cs="Times New Roman" w:eastAsia="Times New Roman" w:hAnsi="Times New Roman"/>
        </w:rPr>
        <w:t xml:space="preserve">]. In the MIRAGE benchmark, RAG improved the accuracy of six LLMs on medical questions by up to about 18 % over chain-of-thought prompting [</w:t>
      </w:r>
      <w:hyperlink w:history="1" w:anchor="ref25">
        <w:r>
          <w:rPr>
            <w:rFonts w:ascii="Times New Roman" w:cs="Times New Roman" w:eastAsia="Times New Roman" w:hAnsi="Times New Roman"/>
            <w:color w:val="000000"/>
          </w:rPr>
          <w:t xml:space="preserve">25</w:t>
        </w:r>
      </w:hyperlink>
      <w:r>
        <w:rPr>
          <w:rFonts w:ascii="Times New Roman" w:cs="Times New Roman" w:eastAsia="Times New Roman" w:hAnsi="Times New Roman"/>
        </w:rPr>
        <w:t xml:space="preserve">]; Almanac showed that grounding answers in retrieved clinical sources significantly improved factuality, completeness and adversarial safety compared with standard LLMs (ChatGPT-4, Bing, Bard) [</w:t>
      </w:r>
      <w:hyperlink w:history="1" w:anchor="ref26">
        <w:r>
          <w:rPr>
            <w:rFonts w:ascii="Times New Roman" w:cs="Times New Roman" w:eastAsia="Times New Roman" w:hAnsi="Times New Roman"/>
            <w:color w:val="000000"/>
          </w:rPr>
          <w:t xml:space="preserve">26</w:t>
        </w:r>
      </w:hyperlink>
      <w:r>
        <w:rPr>
          <w:rFonts w:ascii="Times New Roman" w:cs="Times New Roman" w:eastAsia="Times New Roman" w:hAnsi="Times New Roman"/>
        </w:rPr>
        <w:t xml:space="preserve">]. A 2025 systematic review notes that there is no standardised evaluation framework for medical RAG and that proprietary models (GPT-3.5/4) were the most commonly used [</w:t>
      </w:r>
      <w:hyperlink w:history="1" w:anchor="ref27">
        <w:r>
          <w:rPr>
            <w:rFonts w:ascii="Times New Roman" w:cs="Times New Roman" w:eastAsia="Times New Roman" w:hAnsi="Times New Roman"/>
            <w:color w:val="000000"/>
          </w:rPr>
          <w:t xml:space="preserve">27</w:t>
        </w:r>
      </w:hyperlink>
      <w:r>
        <w:rPr>
          <w:rFonts w:ascii="Times New Roman" w:cs="Times New Roman" w:eastAsia="Times New Roman" w:hAnsi="Times New Roman"/>
        </w:rPr>
        <w:t xml:space="preserve">]. </w:t>
      </w:r>
      <w:r>
        <w:rPr>
          <w:rFonts w:ascii="Times New Roman" w:cs="Times New Roman" w:eastAsia="Times New Roman" w:hAnsi="Times New Roman"/>
          <w:b/>
          <w:bCs/>
        </w:rPr>
        <w:t xml:space="preserve">Implication:</w:t>
      </w:r>
      <w:r>
        <w:rPr>
          <w:rFonts w:ascii="Times New Roman" w:cs="Times New Roman" w:eastAsia="Times New Roman" w:hAnsi="Times New Roman"/>
        </w:rPr>
        <w:t xml:space="preserve"> MedGuard uses RAG over official drug labels for explanations and defines its own measurable metrics (citation accuracy, hallucination rate). Limitation: these works evaluate question answering, not patient-specific interaction checking, which is the gap this project addresses.</w:t>
      </w:r>
    </w:p>
    <w:p>
      <w:pPr>
        <w:pStyle w:val="Heading2"/>
      </w:pPr>
      <w:r>
        <w:rPr>
          <w:rFonts w:ascii="Times New Roman" w:cs="Times New Roman" w:eastAsia="Times New Roman" w:hAnsi="Times New Roman"/>
        </w:rPr>
        <w:t xml:space="preserve">3.8 Synthetic data and drug terminology</w:t>
      </w:r>
    </w:p>
    <w:p>
      <w:pPr>
        <w:spacing w:after="120" w:line="288"/>
        <w:jc w:val="both"/>
      </w:pPr>
      <w:r>
        <w:rPr>
          <w:rFonts w:ascii="Times New Roman" w:cs="Times New Roman" w:eastAsia="Times New Roman" w:hAnsi="Times New Roman"/>
        </w:rPr>
        <w:t xml:space="preserve">Synthetic records allow development and evaluation without real personal data. Synthea, the best-known open generator, builds realistic patient histories from care-pathway modules and encodes them in standard formats such as HL7 FHIR and C-CDA [</w:t>
      </w:r>
      <w:hyperlink w:history="1" w:anchor="ref28">
        <w:r>
          <w:rPr>
            <w:rFonts w:ascii="Times New Roman" w:cs="Times New Roman" w:eastAsia="Times New Roman" w:hAnsi="Times New Roman"/>
            <w:color w:val="000000"/>
          </w:rPr>
          <w:t xml:space="preserve">28</w:t>
        </w:r>
      </w:hyperlink>
      <w:r>
        <w:rPr>
          <w:rFonts w:ascii="Times New Roman" w:cs="Times New Roman" w:eastAsia="Times New Roman" w:hAnsi="Times New Roman"/>
        </w:rPr>
        <w:t xml:space="preserve">]; it also exports CSV [</w:t>
      </w:r>
      <w:hyperlink w:history="1" w:anchor="ref29">
        <w:r>
          <w:rPr>
            <w:rFonts w:ascii="Times New Roman" w:cs="Times New Roman" w:eastAsia="Times New Roman" w:hAnsi="Times New Roman"/>
            <w:color w:val="000000"/>
          </w:rPr>
          <w:t xml:space="preserve">29</w:t>
        </w:r>
      </w:hyperlink>
      <w:r>
        <w:rPr>
          <w:rFonts w:ascii="Times New Roman" w:cs="Times New Roman" w:eastAsia="Times New Roman" w:hAnsi="Times New Roman"/>
        </w:rPr>
        <w:t xml:space="preserve">]. MedGuard follows the same principle but uses its own generator script with a fixed seed, because the product needs data that Synthea does not model: clinics, doctors of different specialties, free time slots, bookings and patient-reported history with source labels. RxNorm provides normalised names and identifiers for clinical drugs and links between drug vocabularies [</w:t>
      </w:r>
      <w:hyperlink w:history="1" w:anchor="ref30">
        <w:r>
          <w:rPr>
            <w:rFonts w:ascii="Times New Roman" w:cs="Times New Roman" w:eastAsia="Times New Roman" w:hAnsi="Times New Roman"/>
            <w:color w:val="000000"/>
          </w:rPr>
          <w:t xml:space="preserve">30</w:t>
        </w:r>
      </w:hyperlink>
      <w:r>
        <w:rPr>
          <w:rFonts w:ascii="Times New Roman" w:cs="Times New Roman" w:eastAsia="Times New Roman" w:hAnsi="Times New Roman"/>
        </w:rPr>
        <w:t xml:space="preserve">]. Limitations: synthetic records lack the noise of real clinical text, and RxNorm covers U.S. products, so Russian brand names sold in Kazakhstan need an additional mapping table (an explicit request of the interviewed physician, Section 2.2).</w:t>
      </w:r>
    </w:p>
    <w:p>
      <w:pPr>
        <w:pStyle w:val="Heading2"/>
      </w:pPr>
      <w:r>
        <w:rPr>
          <w:rFonts w:ascii="Times New Roman" w:cs="Times New Roman" w:eastAsia="Times New Roman" w:hAnsi="Times New Roman"/>
        </w:rPr>
        <w:t xml:space="preserve">3.9 Medication schedules and adherence</w:t>
      </w:r>
    </w:p>
    <w:p>
      <w:pPr>
        <w:spacing w:after="120" w:line="288"/>
        <w:jc w:val="both"/>
      </w:pPr>
      <w:r>
        <w:rPr>
          <w:rFonts w:ascii="Times New Roman" w:cs="Times New Roman" w:eastAsia="Times New Roman" w:hAnsi="Times New Roman"/>
        </w:rPr>
        <w:t xml:space="preserve">A 2025 meta-analysis of 14 randomised trials found that medication-adherence apps improved adherence in all studies, significantly in ten [</w:t>
      </w:r>
      <w:hyperlink w:history="1" w:anchor="ref31">
        <w:r>
          <w:rPr>
            <w:rFonts w:ascii="Times New Roman" w:cs="Times New Roman" w:eastAsia="Times New Roman" w:hAnsi="Times New Roman"/>
            <w:color w:val="000000"/>
          </w:rPr>
          <w:t xml:space="preserve">31</w:t>
        </w:r>
      </w:hyperlink>
      <w:r>
        <w:rPr>
          <w:rFonts w:ascii="Times New Roman" w:cs="Times New Roman" w:eastAsia="Times New Roman" w:hAnsi="Times New Roman"/>
        </w:rPr>
        <w:t xml:space="preserve">]. Simpler regimens with fewer daily doses are associated with better compliance (79 % for once-daily versus 51 % for four-times-daily dosing) [</w:t>
      </w:r>
      <w:hyperlink w:history="1" w:anchor="ref32">
        <w:r>
          <w:rPr>
            <w:rFonts w:ascii="Times New Roman" w:cs="Times New Roman" w:eastAsia="Times New Roman" w:hAnsi="Times New Roman"/>
            <w:color w:val="000000"/>
          </w:rPr>
          <w:t xml:space="preserve">32</w:t>
        </w:r>
      </w:hyperlink>
      <w:r>
        <w:rPr>
          <w:rFonts w:ascii="Times New Roman" w:cs="Times New Roman" w:eastAsia="Times New Roman" w:hAnsi="Times New Roman"/>
        </w:rPr>
        <w:t xml:space="preserve">], and higher medication-regimen complexity is associated with lower adherence in multimorbid patients [</w:t>
      </w:r>
      <w:hyperlink w:history="1" w:anchor="ref33">
        <w:r>
          <w:rPr>
            <w:rFonts w:ascii="Times New Roman" w:cs="Times New Roman" w:eastAsia="Times New Roman" w:hAnsi="Times New Roman"/>
            <w:color w:val="000000"/>
          </w:rPr>
          <w:t xml:space="preserve">33</w:t>
        </w:r>
      </w:hyperlink>
      <w:r>
        <w:rPr>
          <w:rFonts w:ascii="Times New Roman" w:cs="Times New Roman" w:eastAsia="Times New Roman" w:hAnsi="Times New Roman"/>
        </w:rPr>
        <w:t xml:space="preserve">], which motivates the soft constraint of the schedule generator to minimise reminder times. Limitation: adherence was mostly self-reported, and the diploma will measure technical correctness of schedules, not clinical adherence outcomes.</w:t>
      </w:r>
    </w:p>
    <w:p>
      <w:pPr>
        <w:pStyle w:val="Heading2"/>
      </w:pPr>
      <w:r>
        <w:rPr>
          <w:rFonts w:ascii="Times New Roman" w:cs="Times New Roman" w:eastAsia="Times New Roman" w:hAnsi="Times New Roman"/>
        </w:rPr>
        <w:t xml:space="preserve">3.10 Explainability in clinical decision support</w:t>
      </w:r>
    </w:p>
    <w:p>
      <w:pPr>
        <w:spacing w:after="120" w:line="288"/>
        <w:jc w:val="both"/>
      </w:pPr>
      <w:r>
        <w:rPr>
          <w:rFonts w:ascii="Times New Roman" w:cs="Times New Roman" w:eastAsia="Times New Roman" w:hAnsi="Times New Roman"/>
        </w:rPr>
        <w:t xml:space="preserve">Explainability is required from technical, legal, medical and patient perspectives [</w:t>
      </w:r>
      <w:hyperlink w:history="1" w:anchor="ref34">
        <w:r>
          <w:rPr>
            <w:rFonts w:ascii="Times New Roman" w:cs="Times New Roman" w:eastAsia="Times New Roman" w:hAnsi="Times New Roman"/>
            <w:color w:val="000000"/>
          </w:rPr>
          <w:t xml:space="preserve">34</w:t>
        </w:r>
      </w:hyperlink>
      <w:r>
        <w:rPr>
          <w:rFonts w:ascii="Times New Roman" w:cs="Times New Roman" w:eastAsia="Times New Roman" w:hAnsi="Times New Roman"/>
        </w:rPr>
        <w:t xml:space="preserve">], yet few studies of machine-learning CDSS evaluate explanations with clinician users [</w:t>
      </w:r>
      <w:hyperlink w:history="1" w:anchor="ref35">
        <w:r>
          <w:rPr>
            <w:rFonts w:ascii="Times New Roman" w:cs="Times New Roman" w:eastAsia="Times New Roman" w:hAnsi="Times New Roman"/>
            <w:color w:val="000000"/>
          </w:rPr>
          <w:t xml:space="preserve">35</w:t>
        </w:r>
      </w:hyperlink>
      <w:r>
        <w:rPr>
          <w:rFonts w:ascii="Times New Roman" w:cs="Times New Roman" w:eastAsia="Times New Roman" w:hAnsi="Times New Roman"/>
        </w:rPr>
        <w:t xml:space="preserve">]. The U.S. FDA’s revised Clinical Decision Support guidance (January 2026) distinguishes software that lets a professional independently review the basis of a recommendation from software that issues directive treatment outputs [</w:t>
      </w:r>
      <w:hyperlink w:history="1" w:anchor="ref36">
        <w:r>
          <w:rPr>
            <w:rFonts w:ascii="Times New Roman" w:cs="Times New Roman" w:eastAsia="Times New Roman" w:hAnsi="Times New Roman"/>
            <w:color w:val="000000"/>
          </w:rPr>
          <w:t xml:space="preserve">36</w:t>
        </w:r>
      </w:hyperlink>
      <w:r>
        <w:rPr>
          <w:rFonts w:ascii="Times New Roman" w:cs="Times New Roman" w:eastAsia="Times New Roman" w:hAnsi="Times New Roman"/>
        </w:rPr>
        <w:t xml:space="preserve">]. </w:t>
      </w:r>
      <w:r>
        <w:rPr>
          <w:rFonts w:ascii="Times New Roman" w:cs="Times New Roman" w:eastAsia="Times New Roman" w:hAnsi="Times New Roman"/>
          <w:b/>
          <w:bCs/>
        </w:rPr>
        <w:t xml:space="preserve">Implication:</w:t>
      </w:r>
      <w:r>
        <w:rPr>
          <w:rFonts w:ascii="Times New Roman" w:cs="Times New Roman" w:eastAsia="Times New Roman" w:hAnsi="Times New Roman"/>
        </w:rPr>
        <w:t xml:space="preserve"> MedGuard shows the rule, the patient factor and the source passage for each alert, and the usability test includes questions on whether explanations are understandable.</w:t>
      </w:r>
    </w:p>
    <w:p>
      <w:pPr>
        <w:pStyle w:val="Heading2"/>
      </w:pPr>
      <w:r>
        <w:rPr>
          <w:rFonts w:ascii="Times New Roman" w:cs="Times New Roman" w:eastAsia="Times New Roman" w:hAnsi="Times New Roman"/>
        </w:rPr>
        <w:t xml:space="preserve">3.11 Analysis table</w:t>
      </w:r>
    </w:p>
    <w:p>
      <w:pPr>
        <w:keepNext/>
        <w:spacing w:after="80" w:before="160"/>
      </w:pPr>
      <w:r>
        <w:rPr>
          <w:rFonts w:ascii="Times New Roman" w:cs="Times New Roman" w:eastAsia="Times New Roman" w:hAnsi="Times New Roman"/>
          <w:b/>
          <w:bCs/>
          <w:sz w:val="20"/>
          <w:szCs w:val="20"/>
        </w:rPr>
        <w:t xml:space="preserve">Table 3.1. Structured analysis of core publications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2"/>
        <w:gridCol w:w="1962"/>
        <w:gridCol w:w="1765"/>
        <w:gridCol w:w="1962"/>
        <w:gridCol w:w="1569"/>
        <w:gridCol w:w="1376"/>
      </w:tblGrid>
      <w:tr>
        <w:trPr>
          <w:tblHeader/>
        </w:trPr>
        <w:tc>
          <w:tcPr>
            <w:tcW w:type="dxa" w:w="392"/>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bCs/>
                <w:sz w:val="16"/>
                <w:szCs w:val="16"/>
              </w:rPr>
              <w:t xml:space="preserve">#</w:t>
            </w:r>
          </w:p>
        </w:tc>
        <w:tc>
          <w:tcPr>
            <w:tcW w:type="dxa" w:w="1962"/>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bCs/>
                <w:sz w:val="16"/>
                <w:szCs w:val="16"/>
              </w:rPr>
              <w:t xml:space="preserve">Source</w:t>
            </w:r>
          </w:p>
        </w:tc>
        <w:tc>
          <w:tcPr>
            <w:tcW w:type="dxa" w:w="1765"/>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bCs/>
                <w:sz w:val="16"/>
                <w:szCs w:val="16"/>
              </w:rPr>
              <w:t xml:space="preserve">Approach / data</w:t>
            </w:r>
          </w:p>
        </w:tc>
        <w:tc>
          <w:tcPr>
            <w:tcW w:type="dxa" w:w="1962"/>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bCs/>
                <w:sz w:val="16"/>
                <w:szCs w:val="16"/>
              </w:rPr>
              <w:t xml:space="preserve">Key result</w:t>
            </w:r>
          </w:p>
        </w:tc>
        <w:tc>
          <w:tcPr>
            <w:tcW w:type="dxa" w:w="1569"/>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bCs/>
                <w:sz w:val="16"/>
                <w:szCs w:val="16"/>
              </w:rPr>
              <w:t xml:space="preserve">Limitation</w:t>
            </w:r>
          </w:p>
        </w:tc>
        <w:tc>
          <w:tcPr>
            <w:tcW w:type="dxa" w:w="1376"/>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bCs/>
                <w:sz w:val="16"/>
                <w:szCs w:val="16"/>
              </w:rPr>
              <w:t xml:space="preserve">Use in MedGuard</w:t>
            </w:r>
          </w:p>
        </w:tc>
      </w:tr>
      <w:tr>
        <w:trPr>
          <w:cantSplit/>
        </w:trPr>
        <w:tc>
          <w:tcPr>
            <w:tcW w:type="dxa" w:w="3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1</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WHO 2017 [</w:t>
            </w:r>
            <w:hyperlink w:history="1" w:anchor="ref1">
              <w:r>
                <w:rPr>
                  <w:rFonts w:ascii="Times New Roman" w:cs="Times New Roman" w:eastAsia="Times New Roman" w:hAnsi="Times New Roman"/>
                  <w:b w:val="false"/>
                  <w:bCs w:val="false"/>
                  <w:color w:val="000000"/>
                  <w:sz w:val="16"/>
                  <w:szCs w:val="16"/>
                </w:rPr>
                <w:t xml:space="preserve">1</w:t>
              </w:r>
            </w:hyperlink>
            <w:r>
              <w:rPr>
                <w:rFonts w:ascii="Times New Roman" w:cs="Times New Roman" w:eastAsia="Times New Roman" w:hAnsi="Times New Roman"/>
                <w:b w:val="false"/>
                <w:bCs w:val="false"/>
                <w:sz w:val="16"/>
                <w:szCs w:val="16"/>
              </w:rPr>
              <w:t xml:space="preserve">]</w:t>
            </w:r>
          </w:p>
        </w:tc>
        <w:tc>
          <w:tcPr>
            <w:tcW w:type="dxa" w:w="17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Global policy report</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USD 42 bn/yr cost; −50 % harm target</w:t>
            </w:r>
          </w:p>
        </w:tc>
        <w:tc>
          <w:tcPr>
            <w:tcW w:type="dxa" w:w="156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Not empirical</w:t>
            </w:r>
          </w:p>
        </w:tc>
        <w:tc>
          <w:tcPr>
            <w:tcW w:type="dxa" w:w="13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Problem statement</w:t>
            </w:r>
          </w:p>
        </w:tc>
      </w:tr>
      <w:tr>
        <w:trPr>
          <w:cantSplit/>
        </w:trPr>
        <w:tc>
          <w:tcPr>
            <w:tcW w:type="dxa" w:w="3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2</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Hodkinson 2020 [</w:t>
            </w:r>
            <w:hyperlink w:history="1" w:anchor="ref3">
              <w:r>
                <w:rPr>
                  <w:rFonts w:ascii="Times New Roman" w:cs="Times New Roman" w:eastAsia="Times New Roman" w:hAnsi="Times New Roman"/>
                  <w:b w:val="false"/>
                  <w:bCs w:val="false"/>
                  <w:color w:val="000000"/>
                  <w:sz w:val="16"/>
                  <w:szCs w:val="16"/>
                </w:rPr>
                <w:t xml:space="preserve">3</w:t>
              </w:r>
            </w:hyperlink>
            <w:r>
              <w:rPr>
                <w:rFonts w:ascii="Times New Roman" w:cs="Times New Roman" w:eastAsia="Times New Roman" w:hAnsi="Times New Roman"/>
                <w:b w:val="false"/>
                <w:bCs w:val="false"/>
                <w:sz w:val="16"/>
                <w:szCs w:val="16"/>
              </w:rPr>
              <w:t xml:space="preserve">]</w:t>
            </w:r>
          </w:p>
        </w:tc>
        <w:tc>
          <w:tcPr>
            <w:tcW w:type="dxa" w:w="17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Meta-analysis</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~1 in 30 patients with preventable medication harm</w:t>
            </w:r>
          </w:p>
        </w:tc>
        <w:tc>
          <w:tcPr>
            <w:tcW w:type="dxa" w:w="156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Heterogeneous studies</w:t>
            </w:r>
          </w:p>
        </w:tc>
        <w:tc>
          <w:tcPr>
            <w:tcW w:type="dxa" w:w="13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Problem statement</w:t>
            </w:r>
          </w:p>
        </w:tc>
      </w:tr>
      <w:tr>
        <w:trPr>
          <w:cantSplit/>
        </w:trPr>
        <w:tc>
          <w:tcPr>
            <w:tcW w:type="dxa" w:w="3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3</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Bates 2023 [</w:t>
            </w:r>
            <w:hyperlink w:history="1" w:anchor="ref4">
              <w:r>
                <w:rPr>
                  <w:rFonts w:ascii="Times New Roman" w:cs="Times New Roman" w:eastAsia="Times New Roman" w:hAnsi="Times New Roman"/>
                  <w:b w:val="false"/>
                  <w:bCs w:val="false"/>
                  <w:color w:val="000000"/>
                  <w:sz w:val="16"/>
                  <w:szCs w:val="16"/>
                </w:rPr>
                <w:t xml:space="preserve">4</w:t>
              </w:r>
            </w:hyperlink>
            <w:r>
              <w:rPr>
                <w:rFonts w:ascii="Times New Roman" w:cs="Times New Roman" w:eastAsia="Times New Roman" w:hAnsi="Times New Roman"/>
                <w:b w:val="false"/>
                <w:bCs w:val="false"/>
                <w:sz w:val="16"/>
                <w:szCs w:val="16"/>
              </w:rPr>
              <w:t xml:space="preserve">]</w:t>
            </w:r>
          </w:p>
        </w:tc>
        <w:tc>
          <w:tcPr>
            <w:tcW w:type="dxa" w:w="17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2,809 admissions, 11 Massachusetts hospitals</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AE in 23.6 % of admissions; ADE most common (39 %)</w:t>
            </w:r>
          </w:p>
        </w:tc>
        <w:tc>
          <w:tcPr>
            <w:tcW w:type="dxa" w:w="156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Inpatients, one U.S. state</w:t>
            </w:r>
          </w:p>
        </w:tc>
        <w:tc>
          <w:tcPr>
            <w:tcW w:type="dxa" w:w="13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Problem statement</w:t>
            </w:r>
          </w:p>
        </w:tc>
      </w:tr>
      <w:tr>
        <w:trPr>
          <w:cantSplit/>
        </w:trPr>
        <w:tc>
          <w:tcPr>
            <w:tcW w:type="dxa" w:w="3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4</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van der Sijs 2006 [</w:t>
            </w:r>
            <w:hyperlink w:history="1" w:anchor="ref7">
              <w:r>
                <w:rPr>
                  <w:rFonts w:ascii="Times New Roman" w:cs="Times New Roman" w:eastAsia="Times New Roman" w:hAnsi="Times New Roman"/>
                  <w:b w:val="false"/>
                  <w:bCs w:val="false"/>
                  <w:color w:val="000000"/>
                  <w:sz w:val="16"/>
                  <w:szCs w:val="16"/>
                </w:rPr>
                <w:t xml:space="preserve">7</w:t>
              </w:r>
            </w:hyperlink>
            <w:r>
              <w:rPr>
                <w:rFonts w:ascii="Times New Roman" w:cs="Times New Roman" w:eastAsia="Times New Roman" w:hAnsi="Times New Roman"/>
                <w:b w:val="false"/>
                <w:bCs w:val="false"/>
                <w:sz w:val="16"/>
                <w:szCs w:val="16"/>
              </w:rPr>
              <w:t xml:space="preserve">]</w:t>
            </w:r>
          </w:p>
        </w:tc>
        <w:tc>
          <w:tcPr>
            <w:tcW w:type="dxa" w:w="17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Systematic review</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Overrides 49–96 %</w:t>
            </w:r>
          </w:p>
        </w:tc>
        <w:tc>
          <w:tcPr>
            <w:tcW w:type="dxa" w:w="156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Older CPOE systems</w:t>
            </w:r>
          </w:p>
        </w:tc>
        <w:tc>
          <w:tcPr>
            <w:tcW w:type="dxa" w:w="13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Severity model</w:t>
            </w:r>
          </w:p>
        </w:tc>
      </w:tr>
      <w:tr>
        <w:trPr>
          <w:cantSplit/>
        </w:trPr>
        <w:tc>
          <w:tcPr>
            <w:tcW w:type="dxa" w:w="3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5</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Poly 2020 [</w:t>
            </w:r>
            <w:hyperlink w:history="1" w:anchor="ref8">
              <w:r>
                <w:rPr>
                  <w:rFonts w:ascii="Times New Roman" w:cs="Times New Roman" w:eastAsia="Times New Roman" w:hAnsi="Times New Roman"/>
                  <w:b w:val="false"/>
                  <w:bCs w:val="false"/>
                  <w:color w:val="000000"/>
                  <w:sz w:val="16"/>
                  <w:szCs w:val="16"/>
                </w:rPr>
                <w:t xml:space="preserve">8</w:t>
              </w:r>
            </w:hyperlink>
            <w:r>
              <w:rPr>
                <w:rFonts w:ascii="Times New Roman" w:cs="Times New Roman" w:eastAsia="Times New Roman" w:hAnsi="Times New Roman"/>
                <w:b w:val="false"/>
                <w:bCs w:val="false"/>
                <w:sz w:val="16"/>
                <w:szCs w:val="16"/>
              </w:rPr>
              <w:t xml:space="preserve">]</w:t>
            </w:r>
          </w:p>
        </w:tc>
        <w:tc>
          <w:tcPr>
            <w:tcW w:type="dxa" w:w="17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Systematic review, 23 studies</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Overrides 46–96 %; DDI overrides mostly inappropriate</w:t>
            </w:r>
          </w:p>
        </w:tc>
        <w:tc>
          <w:tcPr>
            <w:tcW w:type="dxa" w:w="156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Inconsistent measurement</w:t>
            </w:r>
          </w:p>
        </w:tc>
        <w:tc>
          <w:tcPr>
            <w:tcW w:type="dxa" w:w="13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Alert relevance</w:t>
            </w:r>
          </w:p>
        </w:tc>
      </w:tr>
      <w:tr>
        <w:trPr>
          <w:cantSplit/>
        </w:trPr>
        <w:tc>
          <w:tcPr>
            <w:tcW w:type="dxa" w:w="3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6</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Villa Zapata 2022 [</w:t>
            </w:r>
            <w:hyperlink w:history="1" w:anchor="ref9">
              <w:r>
                <w:rPr>
                  <w:rFonts w:ascii="Times New Roman" w:cs="Times New Roman" w:eastAsia="Times New Roman" w:hAnsi="Times New Roman"/>
                  <w:b w:val="false"/>
                  <w:bCs w:val="false"/>
                  <w:color w:val="000000"/>
                  <w:sz w:val="16"/>
                  <w:szCs w:val="16"/>
                </w:rPr>
                <w:t xml:space="preserve">9</w:t>
              </w:r>
            </w:hyperlink>
            <w:r>
              <w:rPr>
                <w:rFonts w:ascii="Times New Roman" w:cs="Times New Roman" w:eastAsia="Times New Roman" w:hAnsi="Times New Roman"/>
                <w:b w:val="false"/>
                <w:bCs w:val="false"/>
                <w:sz w:val="16"/>
                <w:szCs w:val="16"/>
              </w:rPr>
              <w:t xml:space="preserve">]</w:t>
            </w:r>
          </w:p>
        </w:tc>
        <w:tc>
          <w:tcPr>
            <w:tcW w:type="dxa" w:w="17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Scoping review, 34 studies</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DDI overrides 55–98 %; lack of context</w:t>
            </w:r>
          </w:p>
        </w:tc>
        <w:tc>
          <w:tcPr>
            <w:tcW w:type="dxa" w:w="156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No meta-analysis</w:t>
            </w:r>
          </w:p>
        </w:tc>
        <w:tc>
          <w:tcPr>
            <w:tcW w:type="dxa" w:w="13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Alert design</w:t>
            </w:r>
          </w:p>
        </w:tc>
      </w:tr>
      <w:tr>
        <w:trPr>
          <w:cantSplit/>
        </w:trPr>
        <w:tc>
          <w:tcPr>
            <w:tcW w:type="dxa" w:w="3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7</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Fung 2017 [</w:t>
            </w:r>
            <w:hyperlink w:history="1" w:anchor="ref11">
              <w:r>
                <w:rPr>
                  <w:rFonts w:ascii="Times New Roman" w:cs="Times New Roman" w:eastAsia="Times New Roman" w:hAnsi="Times New Roman"/>
                  <w:b w:val="false"/>
                  <w:bCs w:val="false"/>
                  <w:color w:val="000000"/>
                  <w:sz w:val="16"/>
                  <w:szCs w:val="16"/>
                </w:rPr>
                <w:t xml:space="preserve">11</w:t>
              </w:r>
            </w:hyperlink>
            <w:r>
              <w:rPr>
                <w:rFonts w:ascii="Times New Roman" w:cs="Times New Roman" w:eastAsia="Times New Roman" w:hAnsi="Times New Roman"/>
                <w:b w:val="false"/>
                <w:bCs w:val="false"/>
                <w:sz w:val="16"/>
                <w:szCs w:val="16"/>
              </w:rPr>
              <w:t xml:space="preserve">]</w:t>
            </w:r>
          </w:p>
        </w:tc>
        <w:tc>
          <w:tcPr>
            <w:tcW w:type="dxa" w:w="17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Comparison of 3 commercial KBs</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79 % of pairs in only one KB; 5 % in all</w:t>
            </w:r>
          </w:p>
        </w:tc>
        <w:tc>
          <w:tcPr>
            <w:tcW w:type="dxa" w:w="156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Commercial KBs only</w:t>
            </w:r>
          </w:p>
        </w:tc>
        <w:tc>
          <w:tcPr>
            <w:tcW w:type="dxa" w:w="13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Versioned rule base</w:t>
            </w:r>
          </w:p>
        </w:tc>
      </w:tr>
      <w:tr>
        <w:trPr>
          <w:cantSplit/>
        </w:trPr>
        <w:tc>
          <w:tcPr>
            <w:tcW w:type="dxa" w:w="3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8</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Kontsioti 2022 [</w:t>
            </w:r>
            <w:hyperlink w:history="1" w:anchor="ref12">
              <w:r>
                <w:rPr>
                  <w:rFonts w:ascii="Times New Roman" w:cs="Times New Roman" w:eastAsia="Times New Roman" w:hAnsi="Times New Roman"/>
                  <w:b w:val="false"/>
                  <w:bCs w:val="false"/>
                  <w:color w:val="000000"/>
                  <w:sz w:val="16"/>
                  <w:szCs w:val="16"/>
                </w:rPr>
                <w:t xml:space="preserve">12</w:t>
              </w:r>
            </w:hyperlink>
            <w:r>
              <w:rPr>
                <w:rFonts w:ascii="Times New Roman" w:cs="Times New Roman" w:eastAsia="Times New Roman" w:hAnsi="Times New Roman"/>
                <w:b w:val="false"/>
                <w:bCs w:val="false"/>
                <w:sz w:val="16"/>
                <w:szCs w:val="16"/>
              </w:rPr>
              <w:t xml:space="preserve">]</w:t>
            </w:r>
          </w:p>
        </w:tc>
        <w:tc>
          <w:tcPr>
            <w:tcW w:type="dxa" w:w="17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BNF vs Thesaurus vs Micromedex</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Common pairs = 10.7–18.3 % of each resource</w:t>
            </w:r>
          </w:p>
        </w:tc>
        <w:tc>
          <w:tcPr>
            <w:tcW w:type="dxa" w:w="156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European resources</w:t>
            </w:r>
          </w:p>
        </w:tc>
        <w:tc>
          <w:tcPr>
            <w:tcW w:type="dxa" w:w="13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Source per rule</w:t>
            </w:r>
          </w:p>
        </w:tc>
      </w:tr>
      <w:tr>
        <w:trPr>
          <w:cantSplit/>
        </w:trPr>
        <w:tc>
          <w:tcPr>
            <w:tcW w:type="dxa" w:w="3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9</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Tian 2025 (DDInter 2.0) [</w:t>
            </w:r>
            <w:hyperlink w:history="1" w:anchor="ref14">
              <w:r>
                <w:rPr>
                  <w:rFonts w:ascii="Times New Roman" w:cs="Times New Roman" w:eastAsia="Times New Roman" w:hAnsi="Times New Roman"/>
                  <w:b w:val="false"/>
                  <w:bCs w:val="false"/>
                  <w:color w:val="000000"/>
                  <w:sz w:val="16"/>
                  <w:szCs w:val="16"/>
                </w:rPr>
                <w:t xml:space="preserve">14</w:t>
              </w:r>
            </w:hyperlink>
            <w:r>
              <w:rPr>
                <w:rFonts w:ascii="Times New Roman" w:cs="Times New Roman" w:eastAsia="Times New Roman" w:hAnsi="Times New Roman"/>
                <w:b w:val="false"/>
                <w:bCs w:val="false"/>
                <w:sz w:val="16"/>
                <w:szCs w:val="16"/>
              </w:rPr>
              <w:t xml:space="preserve">]</w:t>
            </w:r>
          </w:p>
        </w:tc>
        <w:tc>
          <w:tcPr>
            <w:tcW w:type="dxa" w:w="17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Open DDI database</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~302 k DDI, drug–disease, duplication</w:t>
            </w:r>
          </w:p>
        </w:tc>
        <w:tc>
          <w:tcPr>
            <w:tcW w:type="dxa" w:w="156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Non-commercial licence</w:t>
            </w:r>
          </w:p>
        </w:tc>
        <w:tc>
          <w:tcPr>
            <w:tcW w:type="dxa" w:w="13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Seed of rule base</w:t>
            </w:r>
          </w:p>
        </w:tc>
      </w:tr>
      <w:tr>
        <w:trPr>
          <w:cantSplit/>
        </w:trPr>
        <w:tc>
          <w:tcPr>
            <w:tcW w:type="dxa" w:w="3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10</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Henry 2020 (n2c2) [</w:t>
            </w:r>
            <w:hyperlink w:history="1" w:anchor="ref17">
              <w:r>
                <w:rPr>
                  <w:rFonts w:ascii="Times New Roman" w:cs="Times New Roman" w:eastAsia="Times New Roman" w:hAnsi="Times New Roman"/>
                  <w:b w:val="false"/>
                  <w:bCs w:val="false"/>
                  <w:color w:val="000000"/>
                  <w:sz w:val="16"/>
                  <w:szCs w:val="16"/>
                </w:rPr>
                <w:t xml:space="preserve">17</w:t>
              </w:r>
            </w:hyperlink>
            <w:r>
              <w:rPr>
                <w:rFonts w:ascii="Times New Roman" w:cs="Times New Roman" w:eastAsia="Times New Roman" w:hAnsi="Times New Roman"/>
                <w:b w:val="false"/>
                <w:bCs w:val="false"/>
                <w:sz w:val="16"/>
                <w:szCs w:val="16"/>
              </w:rPr>
              <w:t xml:space="preserve">]</w:t>
            </w:r>
          </w:p>
        </w:tc>
        <w:tc>
          <w:tcPr>
            <w:tcW w:type="dxa" w:w="17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Shared task, MIMIC-III</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F1 0.94 concepts, 0.89 end-to-end</w:t>
            </w:r>
          </w:p>
        </w:tc>
        <w:tc>
          <w:tcPr>
            <w:tcW w:type="dxa" w:w="156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Pre-LLM; hospital notes</w:t>
            </w:r>
          </w:p>
        </w:tc>
        <w:tc>
          <w:tcPr>
            <w:tcW w:type="dxa" w:w="13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NLP targets</w:t>
            </w:r>
          </w:p>
        </w:tc>
      </w:tr>
      <w:tr>
        <w:trPr>
          <w:cantSplit/>
        </w:trPr>
        <w:tc>
          <w:tcPr>
            <w:tcW w:type="dxa" w:w="3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11</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Hu 2024 [</w:t>
            </w:r>
            <w:hyperlink w:history="1" w:anchor="ref19">
              <w:r>
                <w:rPr>
                  <w:rFonts w:ascii="Times New Roman" w:cs="Times New Roman" w:eastAsia="Times New Roman" w:hAnsi="Times New Roman"/>
                  <w:b w:val="false"/>
                  <w:bCs w:val="false"/>
                  <w:color w:val="000000"/>
                  <w:sz w:val="16"/>
                  <w:szCs w:val="16"/>
                </w:rPr>
                <w:t xml:space="preserve">19</w:t>
              </w:r>
            </w:hyperlink>
            <w:r>
              <w:rPr>
                <w:rFonts w:ascii="Times New Roman" w:cs="Times New Roman" w:eastAsia="Times New Roman" w:hAnsi="Times New Roman"/>
                <w:b w:val="false"/>
                <w:bCs w:val="false"/>
                <w:sz w:val="16"/>
                <w:szCs w:val="16"/>
              </w:rPr>
              <w:t xml:space="preserve">]</w:t>
            </w:r>
          </w:p>
        </w:tc>
        <w:tc>
          <w:tcPr>
            <w:tcW w:type="dxa" w:w="17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GPT-3.5/4 prompting for NER</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Prompts improve; fine-tuned BERT still better</w:t>
            </w:r>
          </w:p>
        </w:tc>
        <w:tc>
          <w:tcPr>
            <w:tcW w:type="dxa" w:w="156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Proprietary models</w:t>
            </w:r>
          </w:p>
        </w:tc>
        <w:tc>
          <w:tcPr>
            <w:tcW w:type="dxa" w:w="13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Prompt design, baseline</w:t>
            </w:r>
          </w:p>
        </w:tc>
      </w:tr>
      <w:tr>
        <w:trPr>
          <w:cantSplit/>
        </w:trPr>
        <w:tc>
          <w:tcPr>
            <w:tcW w:type="dxa" w:w="3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12</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Al-Ashwal 2023 [</w:t>
            </w:r>
            <w:hyperlink w:history="1" w:anchor="ref20">
              <w:r>
                <w:rPr>
                  <w:rFonts w:ascii="Times New Roman" w:cs="Times New Roman" w:eastAsia="Times New Roman" w:hAnsi="Times New Roman"/>
                  <w:b w:val="false"/>
                  <w:bCs w:val="false"/>
                  <w:color w:val="000000"/>
                  <w:sz w:val="16"/>
                  <w:szCs w:val="16"/>
                </w:rPr>
                <w:t xml:space="preserve">20</w:t>
              </w:r>
            </w:hyperlink>
            <w:r>
              <w:rPr>
                <w:rFonts w:ascii="Times New Roman" w:cs="Times New Roman" w:eastAsia="Times New Roman" w:hAnsi="Times New Roman"/>
                <w:b w:val="false"/>
                <w:bCs w:val="false"/>
                <w:sz w:val="16"/>
                <w:szCs w:val="16"/>
              </w:rPr>
              <w:t xml:space="preserve">]</w:t>
            </w:r>
          </w:p>
        </w:tc>
        <w:tc>
          <w:tcPr>
            <w:tcW w:type="dxa" w:w="17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4 chatbots vs Micromedex</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Accuracy 0.469–0.788; specificity ≥ 0.372</w:t>
            </w:r>
          </w:p>
        </w:tc>
        <w:tc>
          <w:tcPr>
            <w:tcW w:type="dxa" w:w="156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Small pair set; 2023 models</w:t>
            </w:r>
          </w:p>
        </w:tc>
        <w:tc>
          <w:tcPr>
            <w:tcW w:type="dxa" w:w="13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Reject LLM-only</w:t>
            </w:r>
          </w:p>
        </w:tc>
      </w:tr>
      <w:tr>
        <w:trPr>
          <w:cantSplit/>
        </w:trPr>
        <w:tc>
          <w:tcPr>
            <w:tcW w:type="dxa" w:w="3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13</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Sicard 2025 [</w:t>
            </w:r>
            <w:hyperlink w:history="1" w:anchor="ref22">
              <w:r>
                <w:rPr>
                  <w:rFonts w:ascii="Times New Roman" w:cs="Times New Roman" w:eastAsia="Times New Roman" w:hAnsi="Times New Roman"/>
                  <w:b w:val="false"/>
                  <w:bCs w:val="false"/>
                  <w:color w:val="000000"/>
                  <w:sz w:val="16"/>
                  <w:szCs w:val="16"/>
                </w:rPr>
                <w:t xml:space="preserve">22</w:t>
              </w:r>
            </w:hyperlink>
            <w:r>
              <w:rPr>
                <w:rFonts w:ascii="Times New Roman" w:cs="Times New Roman" w:eastAsia="Times New Roman" w:hAnsi="Times New Roman"/>
                <w:b w:val="false"/>
                <w:bCs w:val="false"/>
                <w:sz w:val="16"/>
                <w:szCs w:val="16"/>
              </w:rPr>
              <w:t xml:space="preserve">]</w:t>
            </w:r>
          </w:p>
        </w:tc>
        <w:tc>
          <w:tcPr>
            <w:tcW w:type="dxa" w:w="17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3 LLMs on 104 ADR reports</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Sensitivity 95–99 %, specificity 0.36–0.68</w:t>
            </w:r>
          </w:p>
        </w:tc>
        <w:tc>
          <w:tcPr>
            <w:tcW w:type="dxa" w:w="156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Pharmacovigilance cases</w:t>
            </w:r>
          </w:p>
        </w:tc>
        <w:tc>
          <w:tcPr>
            <w:tcW w:type="dxa" w:w="13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LLM-only baseline B</w:t>
            </w:r>
          </w:p>
        </w:tc>
      </w:tr>
      <w:tr>
        <w:trPr>
          <w:cantSplit/>
        </w:trPr>
        <w:tc>
          <w:tcPr>
            <w:tcW w:type="dxa" w:w="3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14</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Ji 2023 [</w:t>
            </w:r>
            <w:hyperlink w:history="1" w:anchor="ref23">
              <w:r>
                <w:rPr>
                  <w:rFonts w:ascii="Times New Roman" w:cs="Times New Roman" w:eastAsia="Times New Roman" w:hAnsi="Times New Roman"/>
                  <w:b w:val="false"/>
                  <w:bCs w:val="false"/>
                  <w:color w:val="000000"/>
                  <w:sz w:val="16"/>
                  <w:szCs w:val="16"/>
                </w:rPr>
                <w:t xml:space="preserve">23</w:t>
              </w:r>
            </w:hyperlink>
            <w:r>
              <w:rPr>
                <w:rFonts w:ascii="Times New Roman" w:cs="Times New Roman" w:eastAsia="Times New Roman" w:hAnsi="Times New Roman"/>
                <w:b w:val="false"/>
                <w:bCs w:val="false"/>
                <w:sz w:val="16"/>
                <w:szCs w:val="16"/>
              </w:rPr>
              <w:t xml:space="preserve">]</w:t>
            </w:r>
          </w:p>
        </w:tc>
        <w:tc>
          <w:tcPr>
            <w:tcW w:type="dxa" w:w="17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Survey</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Taxonomy and mitigation of hallucination</w:t>
            </w:r>
          </w:p>
        </w:tc>
        <w:tc>
          <w:tcPr>
            <w:tcW w:type="dxa" w:w="156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Not medical</w:t>
            </w:r>
          </w:p>
        </w:tc>
        <w:tc>
          <w:tcPr>
            <w:tcW w:type="dxa" w:w="13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Hallucination metric</w:t>
            </w:r>
          </w:p>
        </w:tc>
      </w:tr>
      <w:tr>
        <w:trPr>
          <w:cantSplit/>
        </w:trPr>
        <w:tc>
          <w:tcPr>
            <w:tcW w:type="dxa" w:w="3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15</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Xiong 2024 (MedRAG) [</w:t>
            </w:r>
            <w:hyperlink w:history="1" w:anchor="ref25">
              <w:r>
                <w:rPr>
                  <w:rFonts w:ascii="Times New Roman" w:cs="Times New Roman" w:eastAsia="Times New Roman" w:hAnsi="Times New Roman"/>
                  <w:b w:val="false"/>
                  <w:bCs w:val="false"/>
                  <w:color w:val="000000"/>
                  <w:sz w:val="16"/>
                  <w:szCs w:val="16"/>
                </w:rPr>
                <w:t xml:space="preserve">25</w:t>
              </w:r>
            </w:hyperlink>
            <w:r>
              <w:rPr>
                <w:rFonts w:ascii="Times New Roman" w:cs="Times New Roman" w:eastAsia="Times New Roman" w:hAnsi="Times New Roman"/>
                <w:b w:val="false"/>
                <w:bCs w:val="false"/>
                <w:sz w:val="16"/>
                <w:szCs w:val="16"/>
              </w:rPr>
              <w:t xml:space="preserve">]</w:t>
            </w:r>
          </w:p>
        </w:tc>
        <w:tc>
          <w:tcPr>
            <w:tcW w:type="dxa" w:w="17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Benchmark, 7,663 questions</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RAG up to +18 % accuracy</w:t>
            </w:r>
          </w:p>
        </w:tc>
        <w:tc>
          <w:tcPr>
            <w:tcW w:type="dxa" w:w="156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QA, not DDI</w:t>
            </w:r>
          </w:p>
        </w:tc>
        <w:tc>
          <w:tcPr>
            <w:tcW w:type="dxa" w:w="13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RAG design</w:t>
            </w:r>
          </w:p>
        </w:tc>
      </w:tr>
      <w:tr>
        <w:trPr>
          <w:cantSplit/>
        </w:trPr>
        <w:tc>
          <w:tcPr>
            <w:tcW w:type="dxa" w:w="3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16</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Amugongo 2025 [</w:t>
            </w:r>
            <w:hyperlink w:history="1" w:anchor="ref27">
              <w:r>
                <w:rPr>
                  <w:rFonts w:ascii="Times New Roman" w:cs="Times New Roman" w:eastAsia="Times New Roman" w:hAnsi="Times New Roman"/>
                  <w:b w:val="false"/>
                  <w:bCs w:val="false"/>
                  <w:color w:val="000000"/>
                  <w:sz w:val="16"/>
                  <w:szCs w:val="16"/>
                </w:rPr>
                <w:t xml:space="preserve">27</w:t>
              </w:r>
            </w:hyperlink>
            <w:r>
              <w:rPr>
                <w:rFonts w:ascii="Times New Roman" w:cs="Times New Roman" w:eastAsia="Times New Roman" w:hAnsi="Times New Roman"/>
                <w:b w:val="false"/>
                <w:bCs w:val="false"/>
                <w:sz w:val="16"/>
                <w:szCs w:val="16"/>
              </w:rPr>
              <w:t xml:space="preserve">]</w:t>
            </w:r>
          </w:p>
        </w:tc>
        <w:tc>
          <w:tcPr>
            <w:tcW w:type="dxa" w:w="17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Systematic review</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Evaluation not standardised</w:t>
            </w:r>
          </w:p>
        </w:tc>
        <w:tc>
          <w:tcPr>
            <w:tcW w:type="dxa" w:w="156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No pooled effect</w:t>
            </w:r>
          </w:p>
        </w:tc>
        <w:tc>
          <w:tcPr>
            <w:tcW w:type="dxa" w:w="13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Own metrics</w:t>
            </w:r>
          </w:p>
        </w:tc>
      </w:tr>
      <w:tr>
        <w:trPr>
          <w:cantSplit/>
        </w:trPr>
        <w:tc>
          <w:tcPr>
            <w:tcW w:type="dxa" w:w="3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17</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Walonoski 2018 (Synthea) [</w:t>
            </w:r>
            <w:hyperlink w:history="1" w:anchor="ref28">
              <w:r>
                <w:rPr>
                  <w:rFonts w:ascii="Times New Roman" w:cs="Times New Roman" w:eastAsia="Times New Roman" w:hAnsi="Times New Roman"/>
                  <w:b w:val="false"/>
                  <w:bCs w:val="false"/>
                  <w:color w:val="000000"/>
                  <w:sz w:val="16"/>
                  <w:szCs w:val="16"/>
                </w:rPr>
                <w:t xml:space="preserve">28</w:t>
              </w:r>
            </w:hyperlink>
            <w:r>
              <w:rPr>
                <w:rFonts w:ascii="Times New Roman" w:cs="Times New Roman" w:eastAsia="Times New Roman" w:hAnsi="Times New Roman"/>
                <w:b w:val="false"/>
                <w:bCs w:val="false"/>
                <w:sz w:val="16"/>
                <w:szCs w:val="16"/>
              </w:rPr>
              <w:t xml:space="preserve">]</w:t>
            </w:r>
          </w:p>
        </w:tc>
        <w:tc>
          <w:tcPr>
            <w:tcW w:type="dxa" w:w="17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Synthetic EHR generator</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FHIR/CSV realistic histories</w:t>
            </w:r>
          </w:p>
        </w:tc>
        <w:tc>
          <w:tcPr>
            <w:tcW w:type="dxa" w:w="156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No clinics, slots or patient-reported data</w:t>
            </w:r>
          </w:p>
        </w:tc>
        <w:tc>
          <w:tcPr>
            <w:tcW w:type="dxa" w:w="13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Principle for own generator</w:t>
            </w:r>
          </w:p>
        </w:tc>
      </w:tr>
      <w:tr>
        <w:trPr>
          <w:cantSplit/>
        </w:trPr>
        <w:tc>
          <w:tcPr>
            <w:tcW w:type="dxa" w:w="3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18</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Nelson 2011 (RxNorm) [</w:t>
            </w:r>
            <w:hyperlink w:history="1" w:anchor="ref30">
              <w:r>
                <w:rPr>
                  <w:rFonts w:ascii="Times New Roman" w:cs="Times New Roman" w:eastAsia="Times New Roman" w:hAnsi="Times New Roman"/>
                  <w:b w:val="false"/>
                  <w:bCs w:val="false"/>
                  <w:color w:val="000000"/>
                  <w:sz w:val="16"/>
                  <w:szCs w:val="16"/>
                </w:rPr>
                <w:t xml:space="preserve">30</w:t>
              </w:r>
            </w:hyperlink>
            <w:r>
              <w:rPr>
                <w:rFonts w:ascii="Times New Roman" w:cs="Times New Roman" w:eastAsia="Times New Roman" w:hAnsi="Times New Roman"/>
                <w:b w:val="false"/>
                <w:bCs w:val="false"/>
                <w:sz w:val="16"/>
                <w:szCs w:val="16"/>
              </w:rPr>
              <w:t xml:space="preserve">]</w:t>
            </w:r>
          </w:p>
        </w:tc>
        <w:tc>
          <w:tcPr>
            <w:tcW w:type="dxa" w:w="17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Terminology</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Normalised drug names, links</w:t>
            </w:r>
          </w:p>
        </w:tc>
        <w:tc>
          <w:tcPr>
            <w:tcW w:type="dxa" w:w="156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U.S. products</w:t>
            </w:r>
          </w:p>
        </w:tc>
        <w:tc>
          <w:tcPr>
            <w:tcW w:type="dxa" w:w="13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Normalisation</w:t>
            </w:r>
          </w:p>
        </w:tc>
      </w:tr>
      <w:tr>
        <w:trPr>
          <w:cantSplit/>
        </w:trPr>
        <w:tc>
          <w:tcPr>
            <w:tcW w:type="dxa" w:w="3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19</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Lanke 2025 [</w:t>
            </w:r>
            <w:hyperlink w:history="1" w:anchor="ref31">
              <w:r>
                <w:rPr>
                  <w:rFonts w:ascii="Times New Roman" w:cs="Times New Roman" w:eastAsia="Times New Roman" w:hAnsi="Times New Roman"/>
                  <w:b w:val="false"/>
                  <w:bCs w:val="false"/>
                  <w:color w:val="000000"/>
                  <w:sz w:val="16"/>
                  <w:szCs w:val="16"/>
                </w:rPr>
                <w:t xml:space="preserve">31</w:t>
              </w:r>
            </w:hyperlink>
            <w:r>
              <w:rPr>
                <w:rFonts w:ascii="Times New Roman" w:cs="Times New Roman" w:eastAsia="Times New Roman" w:hAnsi="Times New Roman"/>
                <w:b w:val="false"/>
                <w:bCs w:val="false"/>
                <w:sz w:val="16"/>
                <w:szCs w:val="16"/>
              </w:rPr>
              <w:t xml:space="preserve">]</w:t>
            </w:r>
          </w:p>
        </w:tc>
        <w:tc>
          <w:tcPr>
            <w:tcW w:type="dxa" w:w="17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Meta-analysis, 14 RCTs</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Apps improve adherence</w:t>
            </w:r>
          </w:p>
        </w:tc>
        <w:tc>
          <w:tcPr>
            <w:tcW w:type="dxa" w:w="156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Self-reported adherence</w:t>
            </w:r>
          </w:p>
        </w:tc>
        <w:tc>
          <w:tcPr>
            <w:tcW w:type="dxa" w:w="13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Schedule module</w:t>
            </w:r>
          </w:p>
        </w:tc>
      </w:tr>
      <w:tr>
        <w:trPr>
          <w:cantSplit/>
        </w:trPr>
        <w:tc>
          <w:tcPr>
            <w:tcW w:type="dxa" w:w="3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20</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Markabayeva 2025 [</w:t>
            </w:r>
            <w:hyperlink w:history="1" w:anchor="ref5">
              <w:r>
                <w:rPr>
                  <w:rFonts w:ascii="Times New Roman" w:cs="Times New Roman" w:eastAsia="Times New Roman" w:hAnsi="Times New Roman"/>
                  <w:b w:val="false"/>
                  <w:bCs w:val="false"/>
                  <w:color w:val="000000"/>
                  <w:sz w:val="16"/>
                  <w:szCs w:val="16"/>
                </w:rPr>
                <w:t xml:space="preserve">5</w:t>
              </w:r>
            </w:hyperlink>
            <w:r>
              <w:rPr>
                <w:rFonts w:ascii="Times New Roman" w:cs="Times New Roman" w:eastAsia="Times New Roman" w:hAnsi="Times New Roman"/>
                <w:b w:val="false"/>
                <w:bCs w:val="false"/>
                <w:sz w:val="16"/>
                <w:szCs w:val="16"/>
              </w:rPr>
              <w:t xml:space="preserve">]</w:t>
            </w:r>
          </w:p>
        </w:tc>
        <w:tc>
          <w:tcPr>
            <w:tcW w:type="dxa" w:w="17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Survey, 1,125 patients, Kazakhstan</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91.5 % non-adherent to antihypertensives</w:t>
            </w:r>
          </w:p>
        </w:tc>
        <w:tc>
          <w:tcPr>
            <w:tcW w:type="dxa" w:w="156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Cross-sectional, self-report</w:t>
            </w:r>
          </w:p>
        </w:tc>
        <w:tc>
          <w:tcPr>
            <w:tcW w:type="dxa" w:w="13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Local relevance</w:t>
            </w:r>
          </w:p>
        </w:tc>
      </w:tr>
      <w:tr>
        <w:trPr>
          <w:cantSplit/>
        </w:trPr>
        <w:tc>
          <w:tcPr>
            <w:tcW w:type="dxa" w:w="3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21</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Lampe 2024 [</w:t>
            </w:r>
            <w:hyperlink w:history="1" w:anchor="ref10">
              <w:r>
                <w:rPr>
                  <w:rFonts w:ascii="Times New Roman" w:cs="Times New Roman" w:eastAsia="Times New Roman" w:hAnsi="Times New Roman"/>
                  <w:b w:val="false"/>
                  <w:bCs w:val="false"/>
                  <w:color w:val="000000"/>
                  <w:sz w:val="16"/>
                  <w:szCs w:val="16"/>
                </w:rPr>
                <w:t xml:space="preserve">10</w:t>
              </w:r>
            </w:hyperlink>
            <w:r>
              <w:rPr>
                <w:rFonts w:ascii="Times New Roman" w:cs="Times New Roman" w:eastAsia="Times New Roman" w:hAnsi="Times New Roman"/>
                <w:b w:val="false"/>
                <w:bCs w:val="false"/>
                <w:sz w:val="16"/>
                <w:szCs w:val="16"/>
              </w:rPr>
              <w:t xml:space="preserve">]</w:t>
            </w:r>
          </w:p>
        </w:tc>
        <w:tc>
          <w:tcPr>
            <w:tcW w:type="dxa" w:w="17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Systematic review, 32 studies</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CDSS effect evidence inconclusive</w:t>
            </w:r>
          </w:p>
        </w:tc>
        <w:tc>
          <w:tcPr>
            <w:tcW w:type="dxa" w:w="156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Primary / long-term care</w:t>
            </w:r>
          </w:p>
        </w:tc>
        <w:tc>
          <w:tcPr>
            <w:tcW w:type="dxa" w:w="13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Evaluation design</w:t>
            </w:r>
          </w:p>
        </w:tc>
      </w:tr>
      <w:tr>
        <w:trPr>
          <w:cantSplit/>
        </w:trPr>
        <w:tc>
          <w:tcPr>
            <w:tcW w:type="dxa" w:w="3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22</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Amann 2020 [</w:t>
            </w:r>
            <w:hyperlink w:history="1" w:anchor="ref34">
              <w:r>
                <w:rPr>
                  <w:rFonts w:ascii="Times New Roman" w:cs="Times New Roman" w:eastAsia="Times New Roman" w:hAnsi="Times New Roman"/>
                  <w:b w:val="false"/>
                  <w:bCs w:val="false"/>
                  <w:color w:val="000000"/>
                  <w:sz w:val="16"/>
                  <w:szCs w:val="16"/>
                </w:rPr>
                <w:t xml:space="preserve">34</w:t>
              </w:r>
            </w:hyperlink>
            <w:r>
              <w:rPr>
                <w:rFonts w:ascii="Times New Roman" w:cs="Times New Roman" w:eastAsia="Times New Roman" w:hAnsi="Times New Roman"/>
                <w:b w:val="false"/>
                <w:bCs w:val="false"/>
                <w:sz w:val="16"/>
                <w:szCs w:val="16"/>
              </w:rPr>
              <w:t xml:space="preserve">]</w:t>
            </w:r>
          </w:p>
        </w:tc>
        <w:tc>
          <w:tcPr>
            <w:tcW w:type="dxa" w:w="17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Multidisciplinary analysis</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Explainability needed</w:t>
            </w:r>
          </w:p>
        </w:tc>
        <w:tc>
          <w:tcPr>
            <w:tcW w:type="dxa" w:w="156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Conceptual</w:t>
            </w:r>
          </w:p>
        </w:tc>
        <w:tc>
          <w:tcPr>
            <w:tcW w:type="dxa" w:w="13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Explained alerts</w:t>
            </w:r>
          </w:p>
        </w:tc>
      </w:tr>
      <w:tr>
        <w:trPr>
          <w:cantSplit/>
        </w:trPr>
        <w:tc>
          <w:tcPr>
            <w:tcW w:type="dxa" w:w="3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23</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Antoniadi 2021 [</w:t>
            </w:r>
            <w:hyperlink w:history="1" w:anchor="ref35">
              <w:r>
                <w:rPr>
                  <w:rFonts w:ascii="Times New Roman" w:cs="Times New Roman" w:eastAsia="Times New Roman" w:hAnsi="Times New Roman"/>
                  <w:b w:val="false"/>
                  <w:bCs w:val="false"/>
                  <w:color w:val="000000"/>
                  <w:sz w:val="16"/>
                  <w:szCs w:val="16"/>
                </w:rPr>
                <w:t xml:space="preserve">35</w:t>
              </w:r>
            </w:hyperlink>
            <w:r>
              <w:rPr>
                <w:rFonts w:ascii="Times New Roman" w:cs="Times New Roman" w:eastAsia="Times New Roman" w:hAnsi="Times New Roman"/>
                <w:b w:val="false"/>
                <w:bCs w:val="false"/>
                <w:sz w:val="16"/>
                <w:szCs w:val="16"/>
              </w:rPr>
              <w:t xml:space="preserve">]</w:t>
            </w:r>
          </w:p>
        </w:tc>
        <w:tc>
          <w:tcPr>
            <w:tcW w:type="dxa" w:w="17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Systematic review of XAI CDSS</w:t>
            </w:r>
          </w:p>
        </w:tc>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Few user evaluations</w:t>
            </w:r>
          </w:p>
        </w:tc>
        <w:tc>
          <w:tcPr>
            <w:tcW w:type="dxa" w:w="156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Feature-attribution focus</w:t>
            </w:r>
          </w:p>
        </w:tc>
        <w:tc>
          <w:tcPr>
            <w:tcW w:type="dxa" w:w="13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6"/>
                <w:szCs w:val="16"/>
              </w:rPr>
              <w:t xml:space="preserve">Usability test</w:t>
            </w:r>
          </w:p>
        </w:tc>
      </w:tr>
    </w:tbl>
    <w:p>
      <w:pPr>
        <w:spacing w:after="80"/>
      </w:pPr>
    </w:p>
    <w:p>
      <w:pPr>
        <w:pStyle w:val="Heading2"/>
      </w:pPr>
      <w:r>
        <w:rPr>
          <w:rFonts w:ascii="Times New Roman" w:cs="Times New Roman" w:eastAsia="Times New Roman" w:hAnsi="Times New Roman"/>
        </w:rPr>
        <w:t xml:space="preserve">3.12 Gaps and how the project addresses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bCs/>
                <w:sz w:val="19"/>
                <w:szCs w:val="19"/>
              </w:rPr>
              <w:t xml:space="preserve">Gap in existing work</w:t>
            </w:r>
          </w:p>
        </w:tc>
        <w:tc>
          <w:tcPr>
            <w:tcW w:type="dxa" w:w="4513"/>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bCs/>
                <w:sz w:val="19"/>
                <w:szCs w:val="19"/>
              </w:rPr>
              <w:t xml:space="preserve">How MedGuard addresses it</w:t>
            </w:r>
          </w:p>
        </w:tc>
      </w:tr>
      <w:tr>
        <w:trPr>
          <w:cantSplit/>
        </w:trPr>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Interaction checkers require manual entry of the drug list; free-text history is not used.</w:t>
            </w:r>
          </w:p>
        </w:tc>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NLP extraction + RxNorm normalisation feed the check automatically.</w:t>
            </w:r>
          </w:p>
        </w:tc>
      </w:tr>
      <w:tr>
        <w:trPr>
          <w:cantSplit/>
        </w:trPr>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Alerts are numerous and poorly explained → overrides and alert fatigue.</w:t>
            </w:r>
          </w:p>
        </w:tc>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Patient-specific checks, 3 severity levels, patient factor + source for each alert.</w:t>
            </w:r>
          </w:p>
        </w:tc>
      </w:tr>
      <w:tr>
        <w:trPr>
          <w:cantSplit/>
        </w:trPr>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LLM-only checking is inaccurate and may hallucinate.</w:t>
            </w:r>
          </w:p>
        </w:tc>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Rules decide; LLM only explains; support check; hallucination rate measured.</w:t>
            </w:r>
          </w:p>
        </w:tc>
      </w:tr>
      <w:tr>
        <w:trPr>
          <w:cantSplit/>
        </w:trPr>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Medical RAG is evaluated on QA, not on patient-specific safety checks.</w:t>
            </w:r>
          </w:p>
        </w:tc>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Benchmark with scenario classes, baselines A–D and safety-oriented metrics.</w:t>
            </w:r>
          </w:p>
        </w:tc>
      </w:tr>
      <w:tr>
        <w:trPr>
          <w:cantSplit/>
        </w:trPr>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Safety checking and adherence support are separate products.</w:t>
            </w:r>
          </w:p>
        </w:tc>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One flow from history to schedule and reminders, with re-check of the final regimen.</w:t>
            </w:r>
          </w:p>
        </w:tc>
      </w:tr>
    </w:tbl>
    <w:p>
      <w:pPr>
        <w:spacing w:after="80"/>
      </w:pPr>
    </w:p>
    <w:p>
      <w:pPr>
        <w:pStyle w:val="Heading1"/>
      </w:pPr>
      <w:r>
        <w:rPr>
          <w:rFonts w:ascii="Times New Roman" w:cs="Times New Roman" w:eastAsia="Times New Roman" w:hAnsi="Times New Roman"/>
        </w:rPr>
        <w:t xml:space="preserve">References</w:t>
      </w:r>
    </w:p>
    <w:p>
      <w:pPr>
        <w:spacing w:after="100" w:line="264"/>
        <w:ind w:left="567" w:hanging="567"/>
      </w:pPr>
      <w:bookmarkStart w:name="ref1" w:id="101"/>
      <w:r>
        <w:rPr>
          <w:rFonts w:ascii="Times New Roman" w:cs="Times New Roman" w:eastAsia="Times New Roman" w:hAnsi="Times New Roman"/>
          <w:sz w:val="21"/>
          <w:szCs w:val="21"/>
        </w:rPr>
        <w:t xml:space="preserve">[1]</w:t>
      </w:r>
      <w:bookmarkEnd w:id="101"/>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World Health Organization. Medication Without Harm: WHO Global Patient Safety Challenge on Medication Safety. Geneva: WHO; 2017 (WHO/HIS/SDS/2017.6). </w:t>
      </w:r>
      <w:hyperlink w:history="1" r:id="rIds1x8jmbmot9m6rnwspkfv">
        <w:r>
          <w:rPr>
            <w:rFonts w:ascii="Times New Roman" w:cs="Times New Roman" w:eastAsia="Times New Roman" w:hAnsi="Times New Roman"/>
            <w:color w:val="000000"/>
            <w:sz w:val="21"/>
            <w:szCs w:val="21"/>
            <w:u w:val="single"/>
          </w:rPr>
          <w:t xml:space="preserve">https://www.who.int/initiatives/medication-without-harm</w:t>
        </w:r>
      </w:hyperlink>
    </w:p>
    <w:p>
      <w:pPr>
        <w:spacing w:after="100" w:line="264"/>
        <w:ind w:left="567" w:hanging="567"/>
      </w:pPr>
      <w:bookmarkStart w:name="ref2" w:id="102"/>
      <w:r>
        <w:rPr>
          <w:rFonts w:ascii="Times New Roman" w:cs="Times New Roman" w:eastAsia="Times New Roman" w:hAnsi="Times New Roman"/>
          <w:sz w:val="21"/>
          <w:szCs w:val="21"/>
        </w:rPr>
        <w:t xml:space="preserve">[2]</w:t>
      </w:r>
      <w:bookmarkEnd w:id="102"/>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Panagioti M, Khan K, Keers RN, et al. Prevalence, severity, and nature of preventable patient harm across medical care settings: systematic review and meta-analysis. </w:t>
      </w:r>
      <w:r>
        <w:rPr>
          <w:rFonts w:ascii="Times New Roman" w:cs="Times New Roman" w:eastAsia="Times New Roman" w:hAnsi="Times New Roman"/>
          <w:i/>
          <w:iCs/>
          <w:sz w:val="21"/>
          <w:szCs w:val="21"/>
        </w:rPr>
        <w:t xml:space="preserve">BMJ</w:t>
      </w:r>
      <w:r>
        <w:rPr>
          <w:rFonts w:ascii="Times New Roman" w:cs="Times New Roman" w:eastAsia="Times New Roman" w:hAnsi="Times New Roman"/>
          <w:sz w:val="21"/>
          <w:szCs w:val="21"/>
        </w:rPr>
        <w:t xml:space="preserve">. 2019;366:l4185. </w:t>
      </w:r>
      <w:hyperlink w:history="1" r:id="rIdd2mcpmpnfcuu4j7fvw30b">
        <w:r>
          <w:rPr>
            <w:rFonts w:ascii="Times New Roman" w:cs="Times New Roman" w:eastAsia="Times New Roman" w:hAnsi="Times New Roman"/>
            <w:color w:val="000000"/>
            <w:sz w:val="21"/>
            <w:szCs w:val="21"/>
            <w:u w:val="single"/>
          </w:rPr>
          <w:t xml:space="preserve">doi:10.1136/bmj.l4185</w:t>
        </w:r>
      </w:hyperlink>
    </w:p>
    <w:p>
      <w:pPr>
        <w:spacing w:after="100" w:line="264"/>
        <w:ind w:left="567" w:hanging="567"/>
      </w:pPr>
      <w:bookmarkStart w:name="ref3" w:id="103"/>
      <w:r>
        <w:rPr>
          <w:rFonts w:ascii="Times New Roman" w:cs="Times New Roman" w:eastAsia="Times New Roman" w:hAnsi="Times New Roman"/>
          <w:sz w:val="21"/>
          <w:szCs w:val="21"/>
        </w:rPr>
        <w:t xml:space="preserve">[3]</w:t>
      </w:r>
      <w:bookmarkEnd w:id="103"/>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Hodkinson A, Tyler N, Ashcroft DM, et al. Preventable medication harm across health care settings: a systematic review and meta-analysis. </w:t>
      </w:r>
      <w:r>
        <w:rPr>
          <w:rFonts w:ascii="Times New Roman" w:cs="Times New Roman" w:eastAsia="Times New Roman" w:hAnsi="Times New Roman"/>
          <w:i/>
          <w:iCs/>
          <w:sz w:val="21"/>
          <w:szCs w:val="21"/>
        </w:rPr>
        <w:t xml:space="preserve">BMC Medicine</w:t>
      </w:r>
      <w:r>
        <w:rPr>
          <w:rFonts w:ascii="Times New Roman" w:cs="Times New Roman" w:eastAsia="Times New Roman" w:hAnsi="Times New Roman"/>
          <w:sz w:val="21"/>
          <w:szCs w:val="21"/>
        </w:rPr>
        <w:t xml:space="preserve">. 2020;18:313. </w:t>
      </w:r>
      <w:hyperlink w:history="1" r:id="rId5hhrmdozgbtdm5mixyjoi">
        <w:r>
          <w:rPr>
            <w:rFonts w:ascii="Times New Roman" w:cs="Times New Roman" w:eastAsia="Times New Roman" w:hAnsi="Times New Roman"/>
            <w:color w:val="000000"/>
            <w:sz w:val="21"/>
            <w:szCs w:val="21"/>
            <w:u w:val="single"/>
          </w:rPr>
          <w:t xml:space="preserve">doi:10.1186/s12916-020-01774-9</w:t>
        </w:r>
      </w:hyperlink>
    </w:p>
    <w:p>
      <w:pPr>
        <w:spacing w:after="100" w:line="264"/>
        <w:ind w:left="567" w:hanging="567"/>
      </w:pPr>
      <w:bookmarkStart w:name="ref4" w:id="104"/>
      <w:r>
        <w:rPr>
          <w:rFonts w:ascii="Times New Roman" w:cs="Times New Roman" w:eastAsia="Times New Roman" w:hAnsi="Times New Roman"/>
          <w:sz w:val="21"/>
          <w:szCs w:val="21"/>
        </w:rPr>
        <w:t xml:space="preserve">[4]</w:t>
      </w:r>
      <w:bookmarkEnd w:id="104"/>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Bates DW, Levine DM, Salmasian H, et al. The safety of inpatient health care. </w:t>
      </w:r>
      <w:r>
        <w:rPr>
          <w:rFonts w:ascii="Times New Roman" w:cs="Times New Roman" w:eastAsia="Times New Roman" w:hAnsi="Times New Roman"/>
          <w:i/>
          <w:iCs/>
          <w:sz w:val="21"/>
          <w:szCs w:val="21"/>
        </w:rPr>
        <w:t xml:space="preserve">New England Journal of Medicine</w:t>
      </w:r>
      <w:r>
        <w:rPr>
          <w:rFonts w:ascii="Times New Roman" w:cs="Times New Roman" w:eastAsia="Times New Roman" w:hAnsi="Times New Roman"/>
          <w:sz w:val="21"/>
          <w:szCs w:val="21"/>
        </w:rPr>
        <w:t xml:space="preserve">. 2023;388(2):142–153. </w:t>
      </w:r>
      <w:hyperlink w:history="1" r:id="rIdj1uwtztmlna1u22asmdjc">
        <w:r>
          <w:rPr>
            <w:rFonts w:ascii="Times New Roman" w:cs="Times New Roman" w:eastAsia="Times New Roman" w:hAnsi="Times New Roman"/>
            <w:color w:val="000000"/>
            <w:sz w:val="21"/>
            <w:szCs w:val="21"/>
            <w:u w:val="single"/>
          </w:rPr>
          <w:t xml:space="preserve">doi:10.1056/NEJMsa2206117</w:t>
        </w:r>
      </w:hyperlink>
    </w:p>
    <w:p>
      <w:pPr>
        <w:spacing w:after="100" w:line="264"/>
        <w:ind w:left="567" w:hanging="567"/>
      </w:pPr>
      <w:bookmarkStart w:name="ref5" w:id="105"/>
      <w:r>
        <w:rPr>
          <w:rFonts w:ascii="Times New Roman" w:cs="Times New Roman" w:eastAsia="Times New Roman" w:hAnsi="Times New Roman"/>
          <w:sz w:val="21"/>
          <w:szCs w:val="21"/>
        </w:rPr>
        <w:t xml:space="preserve">[5]</w:t>
      </w:r>
      <w:bookmarkEnd w:id="105"/>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Markabayeva A, Kerimkulova A, Nurpeissova R, et al. Adherence to antihypertensive therapy: a cross-sectional study among patients in the Republic of Kazakhstan. </w:t>
      </w:r>
      <w:r>
        <w:rPr>
          <w:rFonts w:ascii="Times New Roman" w:cs="Times New Roman" w:eastAsia="Times New Roman" w:hAnsi="Times New Roman"/>
          <w:i/>
          <w:iCs/>
          <w:sz w:val="21"/>
          <w:szCs w:val="21"/>
        </w:rPr>
        <w:t xml:space="preserve">International Journal of Environmental Research and Public Health</w:t>
      </w:r>
      <w:r>
        <w:rPr>
          <w:rFonts w:ascii="Times New Roman" w:cs="Times New Roman" w:eastAsia="Times New Roman" w:hAnsi="Times New Roman"/>
          <w:sz w:val="21"/>
          <w:szCs w:val="21"/>
        </w:rPr>
        <w:t xml:space="preserve">. 2025;22(10):1483. </w:t>
      </w:r>
      <w:hyperlink w:history="1" r:id="rId3q9d90a9wlal2cyagvpwa">
        <w:r>
          <w:rPr>
            <w:rFonts w:ascii="Times New Roman" w:cs="Times New Roman" w:eastAsia="Times New Roman" w:hAnsi="Times New Roman"/>
            <w:color w:val="000000"/>
            <w:sz w:val="21"/>
            <w:szCs w:val="21"/>
            <w:u w:val="single"/>
          </w:rPr>
          <w:t xml:space="preserve">doi:10.3390/ijerph22101483</w:t>
        </w:r>
      </w:hyperlink>
    </w:p>
    <w:p>
      <w:pPr>
        <w:spacing w:after="100" w:line="264"/>
        <w:ind w:left="567" w:hanging="567"/>
      </w:pPr>
      <w:bookmarkStart w:name="ref6" w:id="106"/>
      <w:r>
        <w:rPr>
          <w:rFonts w:ascii="Times New Roman" w:cs="Times New Roman" w:eastAsia="Times New Roman" w:hAnsi="Times New Roman"/>
          <w:sz w:val="21"/>
          <w:szCs w:val="21"/>
        </w:rPr>
        <w:t xml:space="preserve">[6]</w:t>
      </w:r>
      <w:bookmarkEnd w:id="106"/>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Smagul M, Yessmagambetova A, Semenova Y, et al. Prevalence of healthcare-associated infections and antimicrobial use in Kazakhstan: results of the first nationwide survey in 2023. </w:t>
      </w:r>
      <w:r>
        <w:rPr>
          <w:rFonts w:ascii="Times New Roman" w:cs="Times New Roman" w:eastAsia="Times New Roman" w:hAnsi="Times New Roman"/>
          <w:i/>
          <w:iCs/>
          <w:sz w:val="21"/>
          <w:szCs w:val="21"/>
        </w:rPr>
        <w:t xml:space="preserve">Antimicrobial Resistance &amp; Infection Control</w:t>
      </w:r>
      <w:r>
        <w:rPr>
          <w:rFonts w:ascii="Times New Roman" w:cs="Times New Roman" w:eastAsia="Times New Roman" w:hAnsi="Times New Roman"/>
          <w:sz w:val="21"/>
          <w:szCs w:val="21"/>
        </w:rPr>
        <w:t xml:space="preserve">. 2025;14:150. </w:t>
      </w:r>
      <w:hyperlink w:history="1" r:id="rId6v59mjtesfqg0jer5cj0c">
        <w:r>
          <w:rPr>
            <w:rFonts w:ascii="Times New Roman" w:cs="Times New Roman" w:eastAsia="Times New Roman" w:hAnsi="Times New Roman"/>
            <w:color w:val="000000"/>
            <w:sz w:val="21"/>
            <w:szCs w:val="21"/>
            <w:u w:val="single"/>
          </w:rPr>
          <w:t xml:space="preserve">doi:10.1186/s13756-025-01667-7</w:t>
        </w:r>
      </w:hyperlink>
    </w:p>
    <w:p>
      <w:pPr>
        <w:spacing w:after="100" w:line="264"/>
        <w:ind w:left="567" w:hanging="567"/>
      </w:pPr>
      <w:bookmarkStart w:name="ref7" w:id="107"/>
      <w:r>
        <w:rPr>
          <w:rFonts w:ascii="Times New Roman" w:cs="Times New Roman" w:eastAsia="Times New Roman" w:hAnsi="Times New Roman"/>
          <w:sz w:val="21"/>
          <w:szCs w:val="21"/>
        </w:rPr>
        <w:t xml:space="preserve">[7]</w:t>
      </w:r>
      <w:bookmarkEnd w:id="107"/>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van der Sijs H, Aarts J, Vulto A, Berg M. Overriding of drug safety alerts in computerized physician order entry. </w:t>
      </w:r>
      <w:r>
        <w:rPr>
          <w:rFonts w:ascii="Times New Roman" w:cs="Times New Roman" w:eastAsia="Times New Roman" w:hAnsi="Times New Roman"/>
          <w:i/>
          <w:iCs/>
          <w:sz w:val="21"/>
          <w:szCs w:val="21"/>
        </w:rPr>
        <w:t xml:space="preserve">Journal of the American Medical Informatics Association</w:t>
      </w:r>
      <w:r>
        <w:rPr>
          <w:rFonts w:ascii="Times New Roman" w:cs="Times New Roman" w:eastAsia="Times New Roman" w:hAnsi="Times New Roman"/>
          <w:sz w:val="21"/>
          <w:szCs w:val="21"/>
        </w:rPr>
        <w:t xml:space="preserve">. 2006;13(2):138–147. </w:t>
      </w:r>
      <w:hyperlink w:history="1" r:id="rIdoszzmghxgeh_cfryjfcdh">
        <w:r>
          <w:rPr>
            <w:rFonts w:ascii="Times New Roman" w:cs="Times New Roman" w:eastAsia="Times New Roman" w:hAnsi="Times New Roman"/>
            <w:color w:val="000000"/>
            <w:sz w:val="21"/>
            <w:szCs w:val="21"/>
            <w:u w:val="single"/>
          </w:rPr>
          <w:t xml:space="preserve">doi:10.1197/jamia.M1809</w:t>
        </w:r>
      </w:hyperlink>
    </w:p>
    <w:p>
      <w:pPr>
        <w:spacing w:after="100" w:line="264"/>
        <w:ind w:left="567" w:hanging="567"/>
      </w:pPr>
      <w:bookmarkStart w:name="ref8" w:id="108"/>
      <w:r>
        <w:rPr>
          <w:rFonts w:ascii="Times New Roman" w:cs="Times New Roman" w:eastAsia="Times New Roman" w:hAnsi="Times New Roman"/>
          <w:sz w:val="21"/>
          <w:szCs w:val="21"/>
        </w:rPr>
        <w:t xml:space="preserve">[8]</w:t>
      </w:r>
      <w:bookmarkEnd w:id="108"/>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Poly TN, Islam MM, Yang HC, Li YCJ. Appropriateness of overridden alerts in computerized physician order entry: systematic review. </w:t>
      </w:r>
      <w:r>
        <w:rPr>
          <w:rFonts w:ascii="Times New Roman" w:cs="Times New Roman" w:eastAsia="Times New Roman" w:hAnsi="Times New Roman"/>
          <w:i/>
          <w:iCs/>
          <w:sz w:val="21"/>
          <w:szCs w:val="21"/>
        </w:rPr>
        <w:t xml:space="preserve">JMIR Medical Informatics</w:t>
      </w:r>
      <w:r>
        <w:rPr>
          <w:rFonts w:ascii="Times New Roman" w:cs="Times New Roman" w:eastAsia="Times New Roman" w:hAnsi="Times New Roman"/>
          <w:sz w:val="21"/>
          <w:szCs w:val="21"/>
        </w:rPr>
        <w:t xml:space="preserve">. 2020;8(7):e15653. </w:t>
      </w:r>
      <w:hyperlink w:history="1" r:id="rIdwcs7tzqawihqc5dmr0znb">
        <w:r>
          <w:rPr>
            <w:rFonts w:ascii="Times New Roman" w:cs="Times New Roman" w:eastAsia="Times New Roman" w:hAnsi="Times New Roman"/>
            <w:color w:val="000000"/>
            <w:sz w:val="21"/>
            <w:szCs w:val="21"/>
            <w:u w:val="single"/>
          </w:rPr>
          <w:t xml:space="preserve">doi:10.2196/15653</w:t>
        </w:r>
      </w:hyperlink>
    </w:p>
    <w:p>
      <w:pPr>
        <w:spacing w:after="100" w:line="264"/>
        <w:ind w:left="567" w:hanging="567"/>
      </w:pPr>
      <w:bookmarkStart w:name="ref9" w:id="109"/>
      <w:r>
        <w:rPr>
          <w:rFonts w:ascii="Times New Roman" w:cs="Times New Roman" w:eastAsia="Times New Roman" w:hAnsi="Times New Roman"/>
          <w:sz w:val="21"/>
          <w:szCs w:val="21"/>
        </w:rPr>
        <w:t xml:space="preserve">[9]</w:t>
      </w:r>
      <w:bookmarkEnd w:id="109"/>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Villa Zapata L, Subbian V, Boyce RD, et al. Overriding drug-drug interaction alerts in clinical decision support systems: a scoping review. </w:t>
      </w:r>
      <w:r>
        <w:rPr>
          <w:rFonts w:ascii="Times New Roman" w:cs="Times New Roman" w:eastAsia="Times New Roman" w:hAnsi="Times New Roman"/>
          <w:i/>
          <w:iCs/>
          <w:sz w:val="21"/>
          <w:szCs w:val="21"/>
        </w:rPr>
        <w:t xml:space="preserve">Studies in Health Technology and Informatics</w:t>
      </w:r>
      <w:r>
        <w:rPr>
          <w:rFonts w:ascii="Times New Roman" w:cs="Times New Roman" w:eastAsia="Times New Roman" w:hAnsi="Times New Roman"/>
          <w:sz w:val="21"/>
          <w:szCs w:val="21"/>
        </w:rPr>
        <w:t xml:space="preserve">. 2022;290:380–384. </w:t>
      </w:r>
      <w:hyperlink w:history="1" r:id="rIdxfbi1bdpb8xs9ve1ilc-u">
        <w:r>
          <w:rPr>
            <w:rFonts w:ascii="Times New Roman" w:cs="Times New Roman" w:eastAsia="Times New Roman" w:hAnsi="Times New Roman"/>
            <w:color w:val="000000"/>
            <w:sz w:val="21"/>
            <w:szCs w:val="21"/>
            <w:u w:val="single"/>
          </w:rPr>
          <w:t xml:space="preserve">doi:10.3233/SHTI220101</w:t>
        </w:r>
      </w:hyperlink>
    </w:p>
    <w:p>
      <w:pPr>
        <w:spacing w:after="100" w:line="264"/>
        <w:ind w:left="567" w:hanging="567"/>
      </w:pPr>
      <w:bookmarkStart w:name="ref10" w:id="110"/>
      <w:r>
        <w:rPr>
          <w:rFonts w:ascii="Times New Roman" w:cs="Times New Roman" w:eastAsia="Times New Roman" w:hAnsi="Times New Roman"/>
          <w:sz w:val="21"/>
          <w:szCs w:val="21"/>
        </w:rPr>
        <w:t xml:space="preserve">[10]</w:t>
      </w:r>
      <w:bookmarkEnd w:id="110"/>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Lampe D, Grosser J, Grothe D, et al. How intervention studies measure the effectiveness of medication safety-related clinical decision support systems in primary and long-term care: a systematic review. </w:t>
      </w:r>
      <w:r>
        <w:rPr>
          <w:rFonts w:ascii="Times New Roman" w:cs="Times New Roman" w:eastAsia="Times New Roman" w:hAnsi="Times New Roman"/>
          <w:i/>
          <w:iCs/>
          <w:sz w:val="21"/>
          <w:szCs w:val="21"/>
        </w:rPr>
        <w:t xml:space="preserve">BMC Medical Informatics and Decision Making</w:t>
      </w:r>
      <w:r>
        <w:rPr>
          <w:rFonts w:ascii="Times New Roman" w:cs="Times New Roman" w:eastAsia="Times New Roman" w:hAnsi="Times New Roman"/>
          <w:sz w:val="21"/>
          <w:szCs w:val="21"/>
        </w:rPr>
        <w:t xml:space="preserve">. 2024;24:188. </w:t>
      </w:r>
      <w:hyperlink w:history="1" r:id="rIdgeu4kgiddvds65seewlpe">
        <w:r>
          <w:rPr>
            <w:rFonts w:ascii="Times New Roman" w:cs="Times New Roman" w:eastAsia="Times New Roman" w:hAnsi="Times New Roman"/>
            <w:color w:val="000000"/>
            <w:sz w:val="21"/>
            <w:szCs w:val="21"/>
            <w:u w:val="single"/>
          </w:rPr>
          <w:t xml:space="preserve">doi:10.1186/s12911-024-02596-y</w:t>
        </w:r>
      </w:hyperlink>
    </w:p>
    <w:p>
      <w:pPr>
        <w:spacing w:after="100" w:line="264"/>
        <w:ind w:left="567" w:hanging="567"/>
      </w:pPr>
      <w:bookmarkStart w:name="ref11" w:id="111"/>
      <w:r>
        <w:rPr>
          <w:rFonts w:ascii="Times New Roman" w:cs="Times New Roman" w:eastAsia="Times New Roman" w:hAnsi="Times New Roman"/>
          <w:sz w:val="21"/>
          <w:szCs w:val="21"/>
        </w:rPr>
        <w:t xml:space="preserve">[11]</w:t>
      </w:r>
      <w:bookmarkEnd w:id="111"/>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Fung KW, Kapusnik-Uner J, Cunningham J, Higby-Baker S, Bodenreider O. Comparison of three commercial knowledge bases for detection of drug-drug interactions in clinical decision support. </w:t>
      </w:r>
      <w:r>
        <w:rPr>
          <w:rFonts w:ascii="Times New Roman" w:cs="Times New Roman" w:eastAsia="Times New Roman" w:hAnsi="Times New Roman"/>
          <w:i/>
          <w:iCs/>
          <w:sz w:val="21"/>
          <w:szCs w:val="21"/>
        </w:rPr>
        <w:t xml:space="preserve">Journal of the American Medical Informatics Association</w:t>
      </w:r>
      <w:r>
        <w:rPr>
          <w:rFonts w:ascii="Times New Roman" w:cs="Times New Roman" w:eastAsia="Times New Roman" w:hAnsi="Times New Roman"/>
          <w:sz w:val="21"/>
          <w:szCs w:val="21"/>
        </w:rPr>
        <w:t xml:space="preserve">. 2017;24(4):806–812. </w:t>
      </w:r>
      <w:hyperlink w:history="1" r:id="rId4imbzfjnq7pn8yrrxfxq7">
        <w:r>
          <w:rPr>
            <w:rFonts w:ascii="Times New Roman" w:cs="Times New Roman" w:eastAsia="Times New Roman" w:hAnsi="Times New Roman"/>
            <w:color w:val="000000"/>
            <w:sz w:val="21"/>
            <w:szCs w:val="21"/>
            <w:u w:val="single"/>
          </w:rPr>
          <w:t xml:space="preserve">doi:10.1093/jamia/ocx010</w:t>
        </w:r>
      </w:hyperlink>
    </w:p>
    <w:p>
      <w:pPr>
        <w:spacing w:after="100" w:line="264"/>
        <w:ind w:left="567" w:hanging="567"/>
      </w:pPr>
      <w:bookmarkStart w:name="ref12" w:id="112"/>
      <w:r>
        <w:rPr>
          <w:rFonts w:ascii="Times New Roman" w:cs="Times New Roman" w:eastAsia="Times New Roman" w:hAnsi="Times New Roman"/>
          <w:sz w:val="21"/>
          <w:szCs w:val="21"/>
        </w:rPr>
        <w:t xml:space="preserve">[12]</w:t>
      </w:r>
      <w:bookmarkEnd w:id="112"/>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Kontsioti E, Maskell S, Bensalem A, Dutta B, Pirmohamed M. Similarity and consistency assessment of three major online drug–drug interaction resources. </w:t>
      </w:r>
      <w:r>
        <w:rPr>
          <w:rFonts w:ascii="Times New Roman" w:cs="Times New Roman" w:eastAsia="Times New Roman" w:hAnsi="Times New Roman"/>
          <w:i/>
          <w:iCs/>
          <w:sz w:val="21"/>
          <w:szCs w:val="21"/>
        </w:rPr>
        <w:t xml:space="preserve">British Journal of Clinical Pharmacology</w:t>
      </w:r>
      <w:r>
        <w:rPr>
          <w:rFonts w:ascii="Times New Roman" w:cs="Times New Roman" w:eastAsia="Times New Roman" w:hAnsi="Times New Roman"/>
          <w:sz w:val="21"/>
          <w:szCs w:val="21"/>
        </w:rPr>
        <w:t xml:space="preserve">. 2022;88(9):4067–4079. </w:t>
      </w:r>
      <w:hyperlink w:history="1" r:id="rIdqn5jbu9l15ce18e3wtycb">
        <w:r>
          <w:rPr>
            <w:rFonts w:ascii="Times New Roman" w:cs="Times New Roman" w:eastAsia="Times New Roman" w:hAnsi="Times New Roman"/>
            <w:color w:val="000000"/>
            <w:sz w:val="21"/>
            <w:szCs w:val="21"/>
            <w:u w:val="single"/>
          </w:rPr>
          <w:t xml:space="preserve">doi:10.1111/bcp.15341</w:t>
        </w:r>
      </w:hyperlink>
    </w:p>
    <w:p>
      <w:pPr>
        <w:spacing w:after="100" w:line="264"/>
        <w:ind w:left="567" w:hanging="567"/>
      </w:pPr>
      <w:bookmarkStart w:name="ref13" w:id="113"/>
      <w:r>
        <w:rPr>
          <w:rFonts w:ascii="Times New Roman" w:cs="Times New Roman" w:eastAsia="Times New Roman" w:hAnsi="Times New Roman"/>
          <w:sz w:val="21"/>
          <w:szCs w:val="21"/>
        </w:rPr>
        <w:t xml:space="preserve">[13]</w:t>
      </w:r>
      <w:bookmarkEnd w:id="113"/>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U.S. National Library of Medicine. RxNav Drug Interaction API: discontinuation notice (“will be discontinued on or about January 2, 2024”). </w:t>
      </w:r>
      <w:hyperlink w:history="1" r:id="rIdjbkgi4qmhbehlp-rp4nka">
        <w:r>
          <w:rPr>
            <w:rFonts w:ascii="Times New Roman" w:cs="Times New Roman" w:eastAsia="Times New Roman" w:hAnsi="Times New Roman"/>
            <w:color w:val="000000"/>
            <w:sz w:val="21"/>
            <w:szCs w:val="21"/>
            <w:u w:val="single"/>
          </w:rPr>
          <w:t xml:space="preserve">https://lhncbc.nlm.nih.gov/RxNav/APIs/InteractionAPIs.html</w:t>
        </w:r>
      </w:hyperlink>
      <w:r>
        <w:rPr>
          <w:rFonts w:ascii="Times New Roman" w:cs="Times New Roman" w:eastAsia="Times New Roman" w:hAnsi="Times New Roman"/>
          <w:sz w:val="21"/>
          <w:szCs w:val="21"/>
        </w:rPr>
        <w:t xml:space="preserve"> (accessed 16 Oct 2026)</w:t>
      </w:r>
    </w:p>
    <w:p>
      <w:pPr>
        <w:spacing w:after="100" w:line="264"/>
        <w:ind w:left="567" w:hanging="567"/>
      </w:pPr>
      <w:bookmarkStart w:name="ref14" w:id="114"/>
      <w:r>
        <w:rPr>
          <w:rFonts w:ascii="Times New Roman" w:cs="Times New Roman" w:eastAsia="Times New Roman" w:hAnsi="Times New Roman"/>
          <w:sz w:val="21"/>
          <w:szCs w:val="21"/>
        </w:rPr>
        <w:t xml:space="preserve">[14]</w:t>
      </w:r>
      <w:bookmarkEnd w:id="114"/>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Tian Y, Yi J, Wang N, et al. DDInter 2.0: an enhanced drug interaction resource with expanded data coverage, new interaction types, and improved user interface. </w:t>
      </w:r>
      <w:r>
        <w:rPr>
          <w:rFonts w:ascii="Times New Roman" w:cs="Times New Roman" w:eastAsia="Times New Roman" w:hAnsi="Times New Roman"/>
          <w:i/>
          <w:iCs/>
          <w:sz w:val="21"/>
          <w:szCs w:val="21"/>
        </w:rPr>
        <w:t xml:space="preserve">Nucleic Acids Research</w:t>
      </w:r>
      <w:r>
        <w:rPr>
          <w:rFonts w:ascii="Times New Roman" w:cs="Times New Roman" w:eastAsia="Times New Roman" w:hAnsi="Times New Roman"/>
          <w:sz w:val="21"/>
          <w:szCs w:val="21"/>
        </w:rPr>
        <w:t xml:space="preserve">. 2025;53(D1):D1356–D1362. </w:t>
      </w:r>
      <w:hyperlink w:history="1" r:id="rIdudrh7zn2vijlzupjl8fmh">
        <w:r>
          <w:rPr>
            <w:rFonts w:ascii="Times New Roman" w:cs="Times New Roman" w:eastAsia="Times New Roman" w:hAnsi="Times New Roman"/>
            <w:color w:val="000000"/>
            <w:sz w:val="21"/>
            <w:szCs w:val="21"/>
            <w:u w:val="single"/>
          </w:rPr>
          <w:t xml:space="preserve">doi:10.1093/nar/gkae726</w:t>
        </w:r>
      </w:hyperlink>
    </w:p>
    <w:p>
      <w:pPr>
        <w:spacing w:after="100" w:line="264"/>
        <w:ind w:left="567" w:hanging="567"/>
      </w:pPr>
      <w:bookmarkStart w:name="ref15" w:id="115"/>
      <w:r>
        <w:rPr>
          <w:rFonts w:ascii="Times New Roman" w:cs="Times New Roman" w:eastAsia="Times New Roman" w:hAnsi="Times New Roman"/>
          <w:sz w:val="21"/>
          <w:szCs w:val="21"/>
        </w:rPr>
        <w:t xml:space="preserve">[15]</w:t>
      </w:r>
      <w:bookmarkEnd w:id="115"/>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openFDA. Drug Label API: searchable fields (contraindications, warnings, drug_interactions, boxed_warning). </w:t>
      </w:r>
      <w:hyperlink w:history="1" r:id="rIdz8v4a4rvtef_hw7ymhini">
        <w:r>
          <w:rPr>
            <w:rFonts w:ascii="Times New Roman" w:cs="Times New Roman" w:eastAsia="Times New Roman" w:hAnsi="Times New Roman"/>
            <w:color w:val="000000"/>
            <w:sz w:val="21"/>
            <w:szCs w:val="21"/>
            <w:u w:val="single"/>
          </w:rPr>
          <w:t xml:space="preserve">https://open.fda.gov/apis/drug/label/searchable-fields/</w:t>
        </w:r>
      </w:hyperlink>
      <w:r>
        <w:rPr>
          <w:rFonts w:ascii="Times New Roman" w:cs="Times New Roman" w:eastAsia="Times New Roman" w:hAnsi="Times New Roman"/>
          <w:sz w:val="21"/>
          <w:szCs w:val="21"/>
        </w:rPr>
        <w:t xml:space="preserve"> (accessed 20 Oct 2026)</w:t>
      </w:r>
    </w:p>
    <w:p>
      <w:pPr>
        <w:spacing w:after="100" w:line="264"/>
        <w:ind w:left="567" w:hanging="567"/>
      </w:pPr>
      <w:bookmarkStart w:name="ref16" w:id="116"/>
      <w:r>
        <w:rPr>
          <w:rFonts w:ascii="Times New Roman" w:cs="Times New Roman" w:eastAsia="Times New Roman" w:hAnsi="Times New Roman"/>
          <w:sz w:val="21"/>
          <w:szCs w:val="21"/>
        </w:rPr>
        <w:t xml:space="preserve">[16]</w:t>
      </w:r>
      <w:bookmarkEnd w:id="116"/>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U.S. National Library of Medicine. DailyMed. </w:t>
      </w:r>
      <w:hyperlink w:history="1" r:id="rIdnv-kjxgrtl-cimmt7mezo">
        <w:r>
          <w:rPr>
            <w:rFonts w:ascii="Times New Roman" w:cs="Times New Roman" w:eastAsia="Times New Roman" w:hAnsi="Times New Roman"/>
            <w:color w:val="000000"/>
            <w:sz w:val="21"/>
            <w:szCs w:val="21"/>
            <w:u w:val="single"/>
          </w:rPr>
          <w:t xml:space="preserve">https://dailymed.nlm.nih.gov/dailymed/</w:t>
        </w:r>
      </w:hyperlink>
      <w:r>
        <w:rPr>
          <w:rFonts w:ascii="Times New Roman" w:cs="Times New Roman" w:eastAsia="Times New Roman" w:hAnsi="Times New Roman"/>
          <w:sz w:val="21"/>
          <w:szCs w:val="21"/>
        </w:rPr>
        <w:t xml:space="preserve"> (accessed 16 Oct 2026)</w:t>
      </w:r>
    </w:p>
    <w:p>
      <w:pPr>
        <w:spacing w:after="100" w:line="264"/>
        <w:ind w:left="567" w:hanging="567"/>
      </w:pPr>
      <w:bookmarkStart w:name="ref17" w:id="117"/>
      <w:r>
        <w:rPr>
          <w:rFonts w:ascii="Times New Roman" w:cs="Times New Roman" w:eastAsia="Times New Roman" w:hAnsi="Times New Roman"/>
          <w:sz w:val="21"/>
          <w:szCs w:val="21"/>
        </w:rPr>
        <w:t xml:space="preserve">[17]</w:t>
      </w:r>
      <w:bookmarkEnd w:id="117"/>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Henry S, Buchan K, Filannino M, Stubbs A, Uzuner Ö. 2018 n2c2 shared task on adverse drug events and medication extraction in electronic health records. </w:t>
      </w:r>
      <w:r>
        <w:rPr>
          <w:rFonts w:ascii="Times New Roman" w:cs="Times New Roman" w:eastAsia="Times New Roman" w:hAnsi="Times New Roman"/>
          <w:i/>
          <w:iCs/>
          <w:sz w:val="21"/>
          <w:szCs w:val="21"/>
        </w:rPr>
        <w:t xml:space="preserve">Journal of the American Medical Informatics Association</w:t>
      </w:r>
      <w:r>
        <w:rPr>
          <w:rFonts w:ascii="Times New Roman" w:cs="Times New Roman" w:eastAsia="Times New Roman" w:hAnsi="Times New Roman"/>
          <w:sz w:val="21"/>
          <w:szCs w:val="21"/>
        </w:rPr>
        <w:t xml:space="preserve">. 2020;27(1):3–12. </w:t>
      </w:r>
      <w:hyperlink w:history="1" r:id="rId2k0ytm5glzsjscyduhjon">
        <w:r>
          <w:rPr>
            <w:rFonts w:ascii="Times New Roman" w:cs="Times New Roman" w:eastAsia="Times New Roman" w:hAnsi="Times New Roman"/>
            <w:color w:val="000000"/>
            <w:sz w:val="21"/>
            <w:szCs w:val="21"/>
            <w:u w:val="single"/>
          </w:rPr>
          <w:t xml:space="preserve">doi:10.1093/jamia/ocz166</w:t>
        </w:r>
      </w:hyperlink>
    </w:p>
    <w:p>
      <w:pPr>
        <w:spacing w:after="100" w:line="264"/>
        <w:ind w:left="567" w:hanging="567"/>
      </w:pPr>
      <w:bookmarkStart w:name="ref18" w:id="118"/>
      <w:r>
        <w:rPr>
          <w:rFonts w:ascii="Times New Roman" w:cs="Times New Roman" w:eastAsia="Times New Roman" w:hAnsi="Times New Roman"/>
          <w:sz w:val="21"/>
          <w:szCs w:val="21"/>
        </w:rPr>
        <w:t xml:space="preserve">[18]</w:t>
      </w:r>
      <w:bookmarkEnd w:id="118"/>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Agrawal M, Hegselmann S, Lang H, Kim Y, Sontag D. Large language models are few-shot clinical information extractors. In: </w:t>
      </w:r>
      <w:r>
        <w:rPr>
          <w:rFonts w:ascii="Times New Roman" w:cs="Times New Roman" w:eastAsia="Times New Roman" w:hAnsi="Times New Roman"/>
          <w:i/>
          <w:iCs/>
          <w:sz w:val="21"/>
          <w:szCs w:val="21"/>
        </w:rPr>
        <w:t xml:space="preserve">Proceedings of EMNLP 2022</w:t>
      </w:r>
      <w:r>
        <w:rPr>
          <w:rFonts w:ascii="Times New Roman" w:cs="Times New Roman" w:eastAsia="Times New Roman" w:hAnsi="Times New Roman"/>
          <w:sz w:val="21"/>
          <w:szCs w:val="21"/>
        </w:rPr>
        <w:t xml:space="preserve">. 2022:1998–2022. </w:t>
      </w:r>
      <w:hyperlink w:history="1" r:id="rId2t5ws6pkduclgczh47vp4">
        <w:r>
          <w:rPr>
            <w:rFonts w:ascii="Times New Roman" w:cs="Times New Roman" w:eastAsia="Times New Roman" w:hAnsi="Times New Roman"/>
            <w:color w:val="000000"/>
            <w:sz w:val="21"/>
            <w:szCs w:val="21"/>
            <w:u w:val="single"/>
          </w:rPr>
          <w:t xml:space="preserve">doi:10.18653/v1/2022.emnlp-main.130</w:t>
        </w:r>
      </w:hyperlink>
    </w:p>
    <w:p>
      <w:pPr>
        <w:spacing w:after="100" w:line="264"/>
        <w:ind w:left="567" w:hanging="567"/>
      </w:pPr>
      <w:bookmarkStart w:name="ref19" w:id="119"/>
      <w:r>
        <w:rPr>
          <w:rFonts w:ascii="Times New Roman" w:cs="Times New Roman" w:eastAsia="Times New Roman" w:hAnsi="Times New Roman"/>
          <w:sz w:val="21"/>
          <w:szCs w:val="21"/>
        </w:rPr>
        <w:t xml:space="preserve">[19]</w:t>
      </w:r>
      <w:bookmarkEnd w:id="119"/>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Hu Y, Chen Q, Du J, et al. Improving large language models for clinical named entity recognition via prompt engineering. </w:t>
      </w:r>
      <w:r>
        <w:rPr>
          <w:rFonts w:ascii="Times New Roman" w:cs="Times New Roman" w:eastAsia="Times New Roman" w:hAnsi="Times New Roman"/>
          <w:i/>
          <w:iCs/>
          <w:sz w:val="21"/>
          <w:szCs w:val="21"/>
        </w:rPr>
        <w:t xml:space="preserve">Journal of the American Medical Informatics Association</w:t>
      </w:r>
      <w:r>
        <w:rPr>
          <w:rFonts w:ascii="Times New Roman" w:cs="Times New Roman" w:eastAsia="Times New Roman" w:hAnsi="Times New Roman"/>
          <w:sz w:val="21"/>
          <w:szCs w:val="21"/>
        </w:rPr>
        <w:t xml:space="preserve">. 2024;31(9):1812–1820. </w:t>
      </w:r>
      <w:hyperlink w:history="1" r:id="rIdsjxkyg6qrhrflflbagelo">
        <w:r>
          <w:rPr>
            <w:rFonts w:ascii="Times New Roman" w:cs="Times New Roman" w:eastAsia="Times New Roman" w:hAnsi="Times New Roman"/>
            <w:color w:val="000000"/>
            <w:sz w:val="21"/>
            <w:szCs w:val="21"/>
            <w:u w:val="single"/>
          </w:rPr>
          <w:t xml:space="preserve">doi:10.1093/jamia/ocad259</w:t>
        </w:r>
      </w:hyperlink>
    </w:p>
    <w:p>
      <w:pPr>
        <w:spacing w:after="100" w:line="264"/>
        <w:ind w:left="567" w:hanging="567"/>
      </w:pPr>
      <w:bookmarkStart w:name="ref20" w:id="120"/>
      <w:r>
        <w:rPr>
          <w:rFonts w:ascii="Times New Roman" w:cs="Times New Roman" w:eastAsia="Times New Roman" w:hAnsi="Times New Roman"/>
          <w:sz w:val="21"/>
          <w:szCs w:val="21"/>
        </w:rPr>
        <w:t xml:space="preserve">[20]</w:t>
      </w:r>
      <w:bookmarkEnd w:id="120"/>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Al-Ashwal FY, Zawiah M, Gharaibeh L, Abu-Farha R, Bitar AN. Evaluating the sensitivity, specificity, and accuracy of ChatGPT-3.5, ChatGPT-4, Bing AI, and Bard against conventional drug-drug interactions clinical tools. </w:t>
      </w:r>
      <w:r>
        <w:rPr>
          <w:rFonts w:ascii="Times New Roman" w:cs="Times New Roman" w:eastAsia="Times New Roman" w:hAnsi="Times New Roman"/>
          <w:i/>
          <w:iCs/>
          <w:sz w:val="21"/>
          <w:szCs w:val="21"/>
        </w:rPr>
        <w:t xml:space="preserve">Drug, Healthcare and Patient Safety</w:t>
      </w:r>
      <w:r>
        <w:rPr>
          <w:rFonts w:ascii="Times New Roman" w:cs="Times New Roman" w:eastAsia="Times New Roman" w:hAnsi="Times New Roman"/>
          <w:sz w:val="21"/>
          <w:szCs w:val="21"/>
        </w:rPr>
        <w:t xml:space="preserve">. 2023;15:137–147. </w:t>
      </w:r>
      <w:hyperlink w:history="1" r:id="rIdsjydps2yaufckp2vohof3">
        <w:r>
          <w:rPr>
            <w:rFonts w:ascii="Times New Roman" w:cs="Times New Roman" w:eastAsia="Times New Roman" w:hAnsi="Times New Roman"/>
            <w:color w:val="000000"/>
            <w:sz w:val="21"/>
            <w:szCs w:val="21"/>
            <w:u w:val="single"/>
          </w:rPr>
          <w:t xml:space="preserve">doi:10.2147/DHPS.S425858</w:t>
        </w:r>
      </w:hyperlink>
    </w:p>
    <w:p>
      <w:pPr>
        <w:spacing w:after="100" w:line="264"/>
        <w:ind w:left="567" w:hanging="567"/>
      </w:pPr>
      <w:bookmarkStart w:name="ref21" w:id="121"/>
      <w:r>
        <w:rPr>
          <w:rFonts w:ascii="Times New Roman" w:cs="Times New Roman" w:eastAsia="Times New Roman" w:hAnsi="Times New Roman"/>
          <w:sz w:val="21"/>
          <w:szCs w:val="21"/>
        </w:rPr>
        <w:t xml:space="preserve">[21]</w:t>
      </w:r>
      <w:bookmarkEnd w:id="121"/>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Juhi A, Pipil N, Santra S, et al. The capability of ChatGPT in predicting and explaining common drug-drug interactions. </w:t>
      </w:r>
      <w:r>
        <w:rPr>
          <w:rFonts w:ascii="Times New Roman" w:cs="Times New Roman" w:eastAsia="Times New Roman" w:hAnsi="Times New Roman"/>
          <w:i/>
          <w:iCs/>
          <w:sz w:val="21"/>
          <w:szCs w:val="21"/>
        </w:rPr>
        <w:t xml:space="preserve">Cureus</w:t>
      </w:r>
      <w:r>
        <w:rPr>
          <w:rFonts w:ascii="Times New Roman" w:cs="Times New Roman" w:eastAsia="Times New Roman" w:hAnsi="Times New Roman"/>
          <w:sz w:val="21"/>
          <w:szCs w:val="21"/>
        </w:rPr>
        <w:t xml:space="preserve">. 2023;15(3):e36272. </w:t>
      </w:r>
      <w:hyperlink w:history="1" r:id="rIdrjc1wuqvf-0n5ffc1n7xi">
        <w:r>
          <w:rPr>
            <w:rFonts w:ascii="Times New Roman" w:cs="Times New Roman" w:eastAsia="Times New Roman" w:hAnsi="Times New Roman"/>
            <w:color w:val="000000"/>
            <w:sz w:val="21"/>
            <w:szCs w:val="21"/>
            <w:u w:val="single"/>
          </w:rPr>
          <w:t xml:space="preserve">doi:10.7759/cureus.36272</w:t>
        </w:r>
      </w:hyperlink>
    </w:p>
    <w:p>
      <w:pPr>
        <w:spacing w:after="100" w:line="264"/>
        <w:ind w:left="567" w:hanging="567"/>
      </w:pPr>
      <w:bookmarkStart w:name="ref22" w:id="122"/>
      <w:r>
        <w:rPr>
          <w:rFonts w:ascii="Times New Roman" w:cs="Times New Roman" w:eastAsia="Times New Roman" w:hAnsi="Times New Roman"/>
          <w:sz w:val="21"/>
          <w:szCs w:val="21"/>
        </w:rPr>
        <w:t xml:space="preserve">[22]</w:t>
      </w:r>
      <w:bookmarkEnd w:id="122"/>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Sicard J, Montastruc F, Achalme C, et al. Can large language models detect drug–drug interactions leading to adverse drug reactions? </w:t>
      </w:r>
      <w:r>
        <w:rPr>
          <w:rFonts w:ascii="Times New Roman" w:cs="Times New Roman" w:eastAsia="Times New Roman" w:hAnsi="Times New Roman"/>
          <w:i/>
          <w:iCs/>
          <w:sz w:val="21"/>
          <w:szCs w:val="21"/>
        </w:rPr>
        <w:t xml:space="preserve">Therapeutic Advances in Drug Safety</w:t>
      </w:r>
      <w:r>
        <w:rPr>
          <w:rFonts w:ascii="Times New Roman" w:cs="Times New Roman" w:eastAsia="Times New Roman" w:hAnsi="Times New Roman"/>
          <w:sz w:val="21"/>
          <w:szCs w:val="21"/>
        </w:rPr>
        <w:t xml:space="preserve">. 2025;16:20420986251339358. </w:t>
      </w:r>
      <w:hyperlink w:history="1" r:id="rIdmt336albxvcnbbqh1qsgq">
        <w:r>
          <w:rPr>
            <w:rFonts w:ascii="Times New Roman" w:cs="Times New Roman" w:eastAsia="Times New Roman" w:hAnsi="Times New Roman"/>
            <w:color w:val="000000"/>
            <w:sz w:val="21"/>
            <w:szCs w:val="21"/>
            <w:u w:val="single"/>
          </w:rPr>
          <w:t xml:space="preserve">doi:10.1177/20420986251339358</w:t>
        </w:r>
      </w:hyperlink>
    </w:p>
    <w:p>
      <w:pPr>
        <w:spacing w:after="100" w:line="264"/>
        <w:ind w:left="567" w:hanging="567"/>
      </w:pPr>
      <w:bookmarkStart w:name="ref23" w:id="123"/>
      <w:r>
        <w:rPr>
          <w:rFonts w:ascii="Times New Roman" w:cs="Times New Roman" w:eastAsia="Times New Roman" w:hAnsi="Times New Roman"/>
          <w:sz w:val="21"/>
          <w:szCs w:val="21"/>
        </w:rPr>
        <w:t xml:space="preserve">[23]</w:t>
      </w:r>
      <w:bookmarkEnd w:id="123"/>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Ji Z, Lee N, Frieske R, et al. Survey of hallucination in natural language generation. </w:t>
      </w:r>
      <w:r>
        <w:rPr>
          <w:rFonts w:ascii="Times New Roman" w:cs="Times New Roman" w:eastAsia="Times New Roman" w:hAnsi="Times New Roman"/>
          <w:i/>
          <w:iCs/>
          <w:sz w:val="21"/>
          <w:szCs w:val="21"/>
        </w:rPr>
        <w:t xml:space="preserve">ACM Computing Surveys</w:t>
      </w:r>
      <w:r>
        <w:rPr>
          <w:rFonts w:ascii="Times New Roman" w:cs="Times New Roman" w:eastAsia="Times New Roman" w:hAnsi="Times New Roman"/>
          <w:sz w:val="21"/>
          <w:szCs w:val="21"/>
        </w:rPr>
        <w:t xml:space="preserve">. 2023;55(12):1–38. </w:t>
      </w:r>
      <w:hyperlink w:history="1" r:id="rIdlz1gp909zjhdghaugzp9n">
        <w:r>
          <w:rPr>
            <w:rFonts w:ascii="Times New Roman" w:cs="Times New Roman" w:eastAsia="Times New Roman" w:hAnsi="Times New Roman"/>
            <w:color w:val="000000"/>
            <w:sz w:val="21"/>
            <w:szCs w:val="21"/>
            <w:u w:val="single"/>
          </w:rPr>
          <w:t xml:space="preserve">doi:10.1145/3571730</w:t>
        </w:r>
      </w:hyperlink>
    </w:p>
    <w:p>
      <w:pPr>
        <w:spacing w:after="100" w:line="264"/>
        <w:ind w:left="567" w:hanging="567"/>
      </w:pPr>
      <w:bookmarkStart w:name="ref24" w:id="124"/>
      <w:r>
        <w:rPr>
          <w:rFonts w:ascii="Times New Roman" w:cs="Times New Roman" w:eastAsia="Times New Roman" w:hAnsi="Times New Roman"/>
          <w:sz w:val="21"/>
          <w:szCs w:val="21"/>
        </w:rPr>
        <w:t xml:space="preserve">[24]</w:t>
      </w:r>
      <w:bookmarkEnd w:id="124"/>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Lewis P, Perez E, Piktus A, et al. Retrieval-augmented generation for knowledge-intensive NLP tasks. In: </w:t>
      </w:r>
      <w:r>
        <w:rPr>
          <w:rFonts w:ascii="Times New Roman" w:cs="Times New Roman" w:eastAsia="Times New Roman" w:hAnsi="Times New Roman"/>
          <w:i/>
          <w:iCs/>
          <w:sz w:val="21"/>
          <w:szCs w:val="21"/>
        </w:rPr>
        <w:t xml:space="preserve">Advances in Neural Information Processing Systems 33 (NeurIPS 2020)</w:t>
      </w:r>
      <w:r>
        <w:rPr>
          <w:rFonts w:ascii="Times New Roman" w:cs="Times New Roman" w:eastAsia="Times New Roman" w:hAnsi="Times New Roman"/>
          <w:sz w:val="21"/>
          <w:szCs w:val="21"/>
        </w:rPr>
        <w:t xml:space="preserve">. 2020:9459–9474.</w:t>
      </w:r>
    </w:p>
    <w:p>
      <w:pPr>
        <w:spacing w:after="100" w:line="264"/>
        <w:ind w:left="567" w:hanging="567"/>
      </w:pPr>
      <w:bookmarkStart w:name="ref25" w:id="125"/>
      <w:r>
        <w:rPr>
          <w:rFonts w:ascii="Times New Roman" w:cs="Times New Roman" w:eastAsia="Times New Roman" w:hAnsi="Times New Roman"/>
          <w:sz w:val="21"/>
          <w:szCs w:val="21"/>
        </w:rPr>
        <w:t xml:space="preserve">[25]</w:t>
      </w:r>
      <w:bookmarkEnd w:id="125"/>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Xiong G, Jin Q, Lu Z, Zhang A. Benchmarking retrieval-augmented generation for medicine. In: </w:t>
      </w:r>
      <w:r>
        <w:rPr>
          <w:rFonts w:ascii="Times New Roman" w:cs="Times New Roman" w:eastAsia="Times New Roman" w:hAnsi="Times New Roman"/>
          <w:i/>
          <w:iCs/>
          <w:sz w:val="21"/>
          <w:szCs w:val="21"/>
        </w:rPr>
        <w:t xml:space="preserve">Findings of the Association for Computational Linguistics: ACL 2024</w:t>
      </w:r>
      <w:r>
        <w:rPr>
          <w:rFonts w:ascii="Times New Roman" w:cs="Times New Roman" w:eastAsia="Times New Roman" w:hAnsi="Times New Roman"/>
          <w:sz w:val="21"/>
          <w:szCs w:val="21"/>
        </w:rPr>
        <w:t xml:space="preserve">. 2024:6233–6251. </w:t>
      </w:r>
      <w:hyperlink w:history="1" r:id="rIdfskt-iizbv3wgzyp1gm3f">
        <w:r>
          <w:rPr>
            <w:rFonts w:ascii="Times New Roman" w:cs="Times New Roman" w:eastAsia="Times New Roman" w:hAnsi="Times New Roman"/>
            <w:color w:val="000000"/>
            <w:sz w:val="21"/>
            <w:szCs w:val="21"/>
            <w:u w:val="single"/>
          </w:rPr>
          <w:t xml:space="preserve">doi:10.18653/v1/2024.findings-acl.372</w:t>
        </w:r>
      </w:hyperlink>
    </w:p>
    <w:p>
      <w:pPr>
        <w:spacing w:after="100" w:line="264"/>
        <w:ind w:left="567" w:hanging="567"/>
      </w:pPr>
      <w:bookmarkStart w:name="ref26" w:id="126"/>
      <w:r>
        <w:rPr>
          <w:rFonts w:ascii="Times New Roman" w:cs="Times New Roman" w:eastAsia="Times New Roman" w:hAnsi="Times New Roman"/>
          <w:sz w:val="21"/>
          <w:szCs w:val="21"/>
        </w:rPr>
        <w:t xml:space="preserve">[26]</w:t>
      </w:r>
      <w:bookmarkEnd w:id="126"/>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Zakka C, Shad R, Chaurasia A, et al. Almanac: retrieval-augmented language models for clinical medicine. </w:t>
      </w:r>
      <w:r>
        <w:rPr>
          <w:rFonts w:ascii="Times New Roman" w:cs="Times New Roman" w:eastAsia="Times New Roman" w:hAnsi="Times New Roman"/>
          <w:i/>
          <w:iCs/>
          <w:sz w:val="21"/>
          <w:szCs w:val="21"/>
        </w:rPr>
        <w:t xml:space="preserve">NEJM AI</w:t>
      </w:r>
      <w:r>
        <w:rPr>
          <w:rFonts w:ascii="Times New Roman" w:cs="Times New Roman" w:eastAsia="Times New Roman" w:hAnsi="Times New Roman"/>
          <w:sz w:val="21"/>
          <w:szCs w:val="21"/>
        </w:rPr>
        <w:t xml:space="preserve">. 2024;1(2). </w:t>
      </w:r>
      <w:hyperlink w:history="1" r:id="rId_0lxky6nntamx1oovfuwy">
        <w:r>
          <w:rPr>
            <w:rFonts w:ascii="Times New Roman" w:cs="Times New Roman" w:eastAsia="Times New Roman" w:hAnsi="Times New Roman"/>
            <w:color w:val="000000"/>
            <w:sz w:val="21"/>
            <w:szCs w:val="21"/>
            <w:u w:val="single"/>
          </w:rPr>
          <w:t xml:space="preserve">doi:10.1056/AIoa2300068</w:t>
        </w:r>
      </w:hyperlink>
    </w:p>
    <w:p>
      <w:pPr>
        <w:spacing w:after="100" w:line="264"/>
        <w:ind w:left="567" w:hanging="567"/>
      </w:pPr>
      <w:bookmarkStart w:name="ref27" w:id="127"/>
      <w:r>
        <w:rPr>
          <w:rFonts w:ascii="Times New Roman" w:cs="Times New Roman" w:eastAsia="Times New Roman" w:hAnsi="Times New Roman"/>
          <w:sz w:val="21"/>
          <w:szCs w:val="21"/>
        </w:rPr>
        <w:t xml:space="preserve">[27]</w:t>
      </w:r>
      <w:bookmarkEnd w:id="127"/>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Amugongo LM, Mascheroni P, Brooks S, Doering S, Seidel J. Retrieval augmented generation for large language models in healthcare: a systematic review. </w:t>
      </w:r>
      <w:r>
        <w:rPr>
          <w:rFonts w:ascii="Times New Roman" w:cs="Times New Roman" w:eastAsia="Times New Roman" w:hAnsi="Times New Roman"/>
          <w:i/>
          <w:iCs/>
          <w:sz w:val="21"/>
          <w:szCs w:val="21"/>
        </w:rPr>
        <w:t xml:space="preserve">PLOS Digital Health</w:t>
      </w:r>
      <w:r>
        <w:rPr>
          <w:rFonts w:ascii="Times New Roman" w:cs="Times New Roman" w:eastAsia="Times New Roman" w:hAnsi="Times New Roman"/>
          <w:sz w:val="21"/>
          <w:szCs w:val="21"/>
        </w:rPr>
        <w:t xml:space="preserve">. 2025;4(6):e0000877. </w:t>
      </w:r>
      <w:hyperlink w:history="1" r:id="rId2j3lbzq42v5wbgxkfo4k9">
        <w:r>
          <w:rPr>
            <w:rFonts w:ascii="Times New Roman" w:cs="Times New Roman" w:eastAsia="Times New Roman" w:hAnsi="Times New Roman"/>
            <w:color w:val="000000"/>
            <w:sz w:val="21"/>
            <w:szCs w:val="21"/>
            <w:u w:val="single"/>
          </w:rPr>
          <w:t xml:space="preserve">doi:10.1371/journal.pdig.0000877</w:t>
        </w:r>
      </w:hyperlink>
    </w:p>
    <w:p>
      <w:pPr>
        <w:spacing w:after="100" w:line="264"/>
        <w:ind w:left="567" w:hanging="567"/>
      </w:pPr>
      <w:bookmarkStart w:name="ref28" w:id="128"/>
      <w:r>
        <w:rPr>
          <w:rFonts w:ascii="Times New Roman" w:cs="Times New Roman" w:eastAsia="Times New Roman" w:hAnsi="Times New Roman"/>
          <w:sz w:val="21"/>
          <w:szCs w:val="21"/>
        </w:rPr>
        <w:t xml:space="preserve">[28]</w:t>
      </w:r>
      <w:bookmarkEnd w:id="128"/>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Walonoski J, Kramer M, Nichols J, et al. Synthea: an approach, method, and software mechanism for generating synthetic patients and the synthetic electronic health care record. </w:t>
      </w:r>
      <w:r>
        <w:rPr>
          <w:rFonts w:ascii="Times New Roman" w:cs="Times New Roman" w:eastAsia="Times New Roman" w:hAnsi="Times New Roman"/>
          <w:i/>
          <w:iCs/>
          <w:sz w:val="21"/>
          <w:szCs w:val="21"/>
        </w:rPr>
        <w:t xml:space="preserve">Journal of the American Medical Informatics Association</w:t>
      </w:r>
      <w:r>
        <w:rPr>
          <w:rFonts w:ascii="Times New Roman" w:cs="Times New Roman" w:eastAsia="Times New Roman" w:hAnsi="Times New Roman"/>
          <w:sz w:val="21"/>
          <w:szCs w:val="21"/>
        </w:rPr>
        <w:t xml:space="preserve">. 2018;25(3):230–238. </w:t>
      </w:r>
      <w:hyperlink w:history="1" r:id="rIddfwtpwjjvh6gmsbbg2dyu">
        <w:r>
          <w:rPr>
            <w:rFonts w:ascii="Times New Roman" w:cs="Times New Roman" w:eastAsia="Times New Roman" w:hAnsi="Times New Roman"/>
            <w:color w:val="000000"/>
            <w:sz w:val="21"/>
            <w:szCs w:val="21"/>
            <w:u w:val="single"/>
          </w:rPr>
          <w:t xml:space="preserve">doi:10.1093/jamia/ocx079</w:t>
        </w:r>
      </w:hyperlink>
    </w:p>
    <w:p>
      <w:pPr>
        <w:spacing w:after="100" w:line="264"/>
        <w:ind w:left="567" w:hanging="567"/>
      </w:pPr>
      <w:bookmarkStart w:name="ref29" w:id="129"/>
      <w:r>
        <w:rPr>
          <w:rFonts w:ascii="Times New Roman" w:cs="Times New Roman" w:eastAsia="Times New Roman" w:hAnsi="Times New Roman"/>
          <w:sz w:val="21"/>
          <w:szCs w:val="21"/>
        </w:rPr>
        <w:t xml:space="preserve">[29]</w:t>
      </w:r>
      <w:bookmarkEnd w:id="129"/>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Synthea. Synthetic patient population simulator: GitHub repository and wiki (FHIR, C-CDA and CSV exporters). </w:t>
      </w:r>
      <w:hyperlink w:history="1" r:id="rId2ryaecye6aihn_hzpjub6">
        <w:r>
          <w:rPr>
            <w:rFonts w:ascii="Times New Roman" w:cs="Times New Roman" w:eastAsia="Times New Roman" w:hAnsi="Times New Roman"/>
            <w:color w:val="000000"/>
            <w:sz w:val="21"/>
            <w:szCs w:val="21"/>
            <w:u w:val="single"/>
          </w:rPr>
          <w:t xml:space="preserve">https://github.com/synthetichealth/synthea</w:t>
        </w:r>
      </w:hyperlink>
      <w:r>
        <w:rPr>
          <w:rFonts w:ascii="Times New Roman" w:cs="Times New Roman" w:eastAsia="Times New Roman" w:hAnsi="Times New Roman"/>
          <w:sz w:val="21"/>
          <w:szCs w:val="21"/>
        </w:rPr>
        <w:t xml:space="preserve"> (accessed 20 Oct 2026)</w:t>
      </w:r>
    </w:p>
    <w:p>
      <w:pPr>
        <w:spacing w:after="100" w:line="264"/>
        <w:ind w:left="567" w:hanging="567"/>
      </w:pPr>
      <w:bookmarkStart w:name="ref30" w:id="130"/>
      <w:r>
        <w:rPr>
          <w:rFonts w:ascii="Times New Roman" w:cs="Times New Roman" w:eastAsia="Times New Roman" w:hAnsi="Times New Roman"/>
          <w:sz w:val="21"/>
          <w:szCs w:val="21"/>
        </w:rPr>
        <w:t xml:space="preserve">[30]</w:t>
      </w:r>
      <w:bookmarkEnd w:id="130"/>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Nelson SJ, Zeng K, Kilbourne J, Powell T, Moore R. Normalized names for clinical drugs: RxNorm at 6 years. </w:t>
      </w:r>
      <w:r>
        <w:rPr>
          <w:rFonts w:ascii="Times New Roman" w:cs="Times New Roman" w:eastAsia="Times New Roman" w:hAnsi="Times New Roman"/>
          <w:i/>
          <w:iCs/>
          <w:sz w:val="21"/>
          <w:szCs w:val="21"/>
        </w:rPr>
        <w:t xml:space="preserve">Journal of the American Medical Informatics Association</w:t>
      </w:r>
      <w:r>
        <w:rPr>
          <w:rFonts w:ascii="Times New Roman" w:cs="Times New Roman" w:eastAsia="Times New Roman" w:hAnsi="Times New Roman"/>
          <w:sz w:val="21"/>
          <w:szCs w:val="21"/>
        </w:rPr>
        <w:t xml:space="preserve">. 2011;18(4):441–448. </w:t>
      </w:r>
      <w:hyperlink w:history="1" r:id="rIdvz89fx02eopkxwsx9viod">
        <w:r>
          <w:rPr>
            <w:rFonts w:ascii="Times New Roman" w:cs="Times New Roman" w:eastAsia="Times New Roman" w:hAnsi="Times New Roman"/>
            <w:color w:val="000000"/>
            <w:sz w:val="21"/>
            <w:szCs w:val="21"/>
            <w:u w:val="single"/>
          </w:rPr>
          <w:t xml:space="preserve">doi:10.1136/amiajnl-2011-000116</w:t>
        </w:r>
      </w:hyperlink>
    </w:p>
    <w:p>
      <w:pPr>
        <w:spacing w:after="100" w:line="264"/>
        <w:ind w:left="567" w:hanging="567"/>
      </w:pPr>
      <w:bookmarkStart w:name="ref31" w:id="131"/>
      <w:r>
        <w:rPr>
          <w:rFonts w:ascii="Times New Roman" w:cs="Times New Roman" w:eastAsia="Times New Roman" w:hAnsi="Times New Roman"/>
          <w:sz w:val="21"/>
          <w:szCs w:val="21"/>
        </w:rPr>
        <w:t xml:space="preserve">[31]</w:t>
      </w:r>
      <w:bookmarkEnd w:id="131"/>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Lanke V, Trimm K, Habib B, Tamblyn R. Evaluating the effectiveness of mobile apps on medication adherence for chronic conditions: systematic review and meta-analysis. </w:t>
      </w:r>
      <w:r>
        <w:rPr>
          <w:rFonts w:ascii="Times New Roman" w:cs="Times New Roman" w:eastAsia="Times New Roman" w:hAnsi="Times New Roman"/>
          <w:i/>
          <w:iCs/>
          <w:sz w:val="21"/>
          <w:szCs w:val="21"/>
        </w:rPr>
        <w:t xml:space="preserve">Journal of Medical Internet Research</w:t>
      </w:r>
      <w:r>
        <w:rPr>
          <w:rFonts w:ascii="Times New Roman" w:cs="Times New Roman" w:eastAsia="Times New Roman" w:hAnsi="Times New Roman"/>
          <w:sz w:val="21"/>
          <w:szCs w:val="21"/>
        </w:rPr>
        <w:t xml:space="preserve">. 2025;27:e60822. </w:t>
      </w:r>
      <w:hyperlink w:history="1" r:id="rIdgkpsi3n3b9-sgm33n0tnr">
        <w:r>
          <w:rPr>
            <w:rFonts w:ascii="Times New Roman" w:cs="Times New Roman" w:eastAsia="Times New Roman" w:hAnsi="Times New Roman"/>
            <w:color w:val="000000"/>
            <w:sz w:val="21"/>
            <w:szCs w:val="21"/>
            <w:u w:val="single"/>
          </w:rPr>
          <w:t xml:space="preserve">doi:10.2196/60822</w:t>
        </w:r>
      </w:hyperlink>
    </w:p>
    <w:p>
      <w:pPr>
        <w:spacing w:after="100" w:line="264"/>
        <w:ind w:left="567" w:hanging="567"/>
      </w:pPr>
      <w:bookmarkStart w:name="ref32" w:id="132"/>
      <w:r>
        <w:rPr>
          <w:rFonts w:ascii="Times New Roman" w:cs="Times New Roman" w:eastAsia="Times New Roman" w:hAnsi="Times New Roman"/>
          <w:sz w:val="21"/>
          <w:szCs w:val="21"/>
        </w:rPr>
        <w:t xml:space="preserve">[32]</w:t>
      </w:r>
      <w:bookmarkEnd w:id="132"/>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Claxton AJ, Cramer J, Pierce C. A systematic review of the associations between dose regimens and medication compliance. </w:t>
      </w:r>
      <w:r>
        <w:rPr>
          <w:rFonts w:ascii="Times New Roman" w:cs="Times New Roman" w:eastAsia="Times New Roman" w:hAnsi="Times New Roman"/>
          <w:i/>
          <w:iCs/>
          <w:sz w:val="21"/>
          <w:szCs w:val="21"/>
        </w:rPr>
        <w:t xml:space="preserve">Clinical Therapeutics</w:t>
      </w:r>
      <w:r>
        <w:rPr>
          <w:rFonts w:ascii="Times New Roman" w:cs="Times New Roman" w:eastAsia="Times New Roman" w:hAnsi="Times New Roman"/>
          <w:sz w:val="21"/>
          <w:szCs w:val="21"/>
        </w:rPr>
        <w:t xml:space="preserve">. 2001;23(8):1296–1310. </w:t>
      </w:r>
      <w:hyperlink w:history="1" r:id="rIdwwkaanlnepueduefvkxz3">
        <w:r>
          <w:rPr>
            <w:rFonts w:ascii="Times New Roman" w:cs="Times New Roman" w:eastAsia="Times New Roman" w:hAnsi="Times New Roman"/>
            <w:color w:val="000000"/>
            <w:sz w:val="21"/>
            <w:szCs w:val="21"/>
            <w:u w:val="single"/>
          </w:rPr>
          <w:t xml:space="preserve">doi:10.1016/S0149-2918(01)80109-0</w:t>
        </w:r>
      </w:hyperlink>
    </w:p>
    <w:p>
      <w:pPr>
        <w:spacing w:after="100" w:line="264"/>
        <w:ind w:left="567" w:hanging="567"/>
      </w:pPr>
      <w:bookmarkStart w:name="ref33" w:id="133"/>
      <w:r>
        <w:rPr>
          <w:rFonts w:ascii="Times New Roman" w:cs="Times New Roman" w:eastAsia="Times New Roman" w:hAnsi="Times New Roman"/>
          <w:sz w:val="21"/>
          <w:szCs w:val="21"/>
        </w:rPr>
        <w:t xml:space="preserve">[33]</w:t>
      </w:r>
      <w:bookmarkEnd w:id="133"/>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Kassaw AT, Sendekie AK, Minyihun A, et al. Medication regimen complexity and its impact on medication adherence in patients with multimorbidity at a comprehensive specialized hospital in Ethiopia. </w:t>
      </w:r>
      <w:r>
        <w:rPr>
          <w:rFonts w:ascii="Times New Roman" w:cs="Times New Roman" w:eastAsia="Times New Roman" w:hAnsi="Times New Roman"/>
          <w:i/>
          <w:iCs/>
          <w:sz w:val="21"/>
          <w:szCs w:val="21"/>
        </w:rPr>
        <w:t xml:space="preserve">Frontiers in Medicine</w:t>
      </w:r>
      <w:r>
        <w:rPr>
          <w:rFonts w:ascii="Times New Roman" w:cs="Times New Roman" w:eastAsia="Times New Roman" w:hAnsi="Times New Roman"/>
          <w:sz w:val="21"/>
          <w:szCs w:val="21"/>
        </w:rPr>
        <w:t xml:space="preserve">. 2024;11:1369569. </w:t>
      </w:r>
      <w:hyperlink w:history="1" r:id="rIdpg3x-sqlakxdoxcfzsjvy">
        <w:r>
          <w:rPr>
            <w:rFonts w:ascii="Times New Roman" w:cs="Times New Roman" w:eastAsia="Times New Roman" w:hAnsi="Times New Roman"/>
            <w:color w:val="000000"/>
            <w:sz w:val="21"/>
            <w:szCs w:val="21"/>
            <w:u w:val="single"/>
          </w:rPr>
          <w:t xml:space="preserve">doi:10.3389/fmed.2024.1369569</w:t>
        </w:r>
      </w:hyperlink>
    </w:p>
    <w:p>
      <w:pPr>
        <w:spacing w:after="100" w:line="264"/>
        <w:ind w:left="567" w:hanging="567"/>
      </w:pPr>
      <w:bookmarkStart w:name="ref34" w:id="134"/>
      <w:r>
        <w:rPr>
          <w:rFonts w:ascii="Times New Roman" w:cs="Times New Roman" w:eastAsia="Times New Roman" w:hAnsi="Times New Roman"/>
          <w:sz w:val="21"/>
          <w:szCs w:val="21"/>
        </w:rPr>
        <w:t xml:space="preserve">[34]</w:t>
      </w:r>
      <w:bookmarkEnd w:id="134"/>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Amann J, Blasimme A, Vayena E, Frey D, Madai VI. Explainability for artificial intelligence in healthcare: a multidisciplinary perspective. </w:t>
      </w:r>
      <w:r>
        <w:rPr>
          <w:rFonts w:ascii="Times New Roman" w:cs="Times New Roman" w:eastAsia="Times New Roman" w:hAnsi="Times New Roman"/>
          <w:i/>
          <w:iCs/>
          <w:sz w:val="21"/>
          <w:szCs w:val="21"/>
        </w:rPr>
        <w:t xml:space="preserve">BMC Medical Informatics and Decision Making</w:t>
      </w:r>
      <w:r>
        <w:rPr>
          <w:rFonts w:ascii="Times New Roman" w:cs="Times New Roman" w:eastAsia="Times New Roman" w:hAnsi="Times New Roman"/>
          <w:sz w:val="21"/>
          <w:szCs w:val="21"/>
        </w:rPr>
        <w:t xml:space="preserve">. 2020;20:310. </w:t>
      </w:r>
      <w:hyperlink w:history="1" r:id="rIdx1ocsrvxzq3jkn-hzuafo">
        <w:r>
          <w:rPr>
            <w:rFonts w:ascii="Times New Roman" w:cs="Times New Roman" w:eastAsia="Times New Roman" w:hAnsi="Times New Roman"/>
            <w:color w:val="000000"/>
            <w:sz w:val="21"/>
            <w:szCs w:val="21"/>
            <w:u w:val="single"/>
          </w:rPr>
          <w:t xml:space="preserve">doi:10.1186/s12911-020-01332-6</w:t>
        </w:r>
      </w:hyperlink>
    </w:p>
    <w:p>
      <w:pPr>
        <w:spacing w:after="100" w:line="264"/>
        <w:ind w:left="567" w:hanging="567"/>
      </w:pPr>
      <w:bookmarkStart w:name="ref35" w:id="135"/>
      <w:r>
        <w:rPr>
          <w:rFonts w:ascii="Times New Roman" w:cs="Times New Roman" w:eastAsia="Times New Roman" w:hAnsi="Times New Roman"/>
          <w:sz w:val="21"/>
          <w:szCs w:val="21"/>
        </w:rPr>
        <w:t xml:space="preserve">[35]</w:t>
      </w:r>
      <w:bookmarkEnd w:id="135"/>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Antoniadi AM, Du Y, Guendouz Y, et al. Current challenges and future opportunities for XAI in machine learning-based clinical decision support systems: a systematic review. </w:t>
      </w:r>
      <w:r>
        <w:rPr>
          <w:rFonts w:ascii="Times New Roman" w:cs="Times New Roman" w:eastAsia="Times New Roman" w:hAnsi="Times New Roman"/>
          <w:i/>
          <w:iCs/>
          <w:sz w:val="21"/>
          <w:szCs w:val="21"/>
        </w:rPr>
        <w:t xml:space="preserve">Applied Sciences</w:t>
      </w:r>
      <w:r>
        <w:rPr>
          <w:rFonts w:ascii="Times New Roman" w:cs="Times New Roman" w:eastAsia="Times New Roman" w:hAnsi="Times New Roman"/>
          <w:sz w:val="21"/>
          <w:szCs w:val="21"/>
        </w:rPr>
        <w:t xml:space="preserve">. 2021;11(11):5088. </w:t>
      </w:r>
      <w:hyperlink w:history="1" r:id="rIdwfyrfyrfnfdozpgohmpch">
        <w:r>
          <w:rPr>
            <w:rFonts w:ascii="Times New Roman" w:cs="Times New Roman" w:eastAsia="Times New Roman" w:hAnsi="Times New Roman"/>
            <w:color w:val="000000"/>
            <w:sz w:val="21"/>
            <w:szCs w:val="21"/>
            <w:u w:val="single"/>
          </w:rPr>
          <w:t xml:space="preserve">doi:10.3390/app11115088</w:t>
        </w:r>
      </w:hyperlink>
    </w:p>
    <w:p>
      <w:pPr>
        <w:spacing w:after="100" w:line="264"/>
        <w:ind w:left="567" w:hanging="567"/>
      </w:pPr>
      <w:bookmarkStart w:name="ref36" w:id="136"/>
      <w:r>
        <w:rPr>
          <w:rFonts w:ascii="Times New Roman" w:cs="Times New Roman" w:eastAsia="Times New Roman" w:hAnsi="Times New Roman"/>
          <w:sz w:val="21"/>
          <w:szCs w:val="21"/>
        </w:rPr>
        <w:t xml:space="preserve">[36]</w:t>
      </w:r>
      <w:bookmarkEnd w:id="136"/>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U.S. Food and Drug Administration. Clinical Decision Support Software: Guidance for Industry and Food and Drug Administration Staff (revised final guidance, superseding the 2022 version). January 2026. </w:t>
      </w:r>
      <w:hyperlink w:history="1" r:id="rIdwwe9y4xdgiqgeiicmmi3f">
        <w:r>
          <w:rPr>
            <w:rFonts w:ascii="Times New Roman" w:cs="Times New Roman" w:eastAsia="Times New Roman" w:hAnsi="Times New Roman"/>
            <w:color w:val="000000"/>
            <w:sz w:val="21"/>
            <w:szCs w:val="21"/>
            <w:u w:val="single"/>
          </w:rPr>
          <w:t xml:space="preserve">https://www.fda.gov/regulatory-information/search-fda-guidance-documents/clinical-decision-support-software</w:t>
        </w:r>
      </w:hyperlink>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20" w:before="260"/>
      <w:outlineLvl w:val="1"/>
    </w:pPr>
    <w:rPr>
      <w:rFonts w:ascii="Times New Roman" w:cs="Times New Roman" w:eastAsia="Times New Roman" w:hAnsi="Times New Roman"/>
      <w:b/>
      <w:bCs/>
      <w:color w:val="000000"/>
      <w:sz w:val="27"/>
      <w:szCs w:val="27"/>
    </w:rPr>
  </w:style>
  <w:style w:type="paragraph" w:styleId="Heading3">
    <w:name w:val="Heading 3"/>
    <w:basedOn w:val="Normal"/>
    <w:next w:val="Normal"/>
    <w:qFormat/>
    <w:pPr>
      <w:keepNext/>
      <w:spacing w:after="80" w:before="180"/>
      <w:outlineLvl w:val="2"/>
    </w:pPr>
    <w:rPr>
      <w:rFonts w:ascii="Times New Roman" w:cs="Times New Roman" w:eastAsia="Times New Roman" w:hAnsi="Times New Roman"/>
      <w:b/>
      <w:bCs/>
      <w:i/>
      <w:iCs/>
      <w:sz w:val="24"/>
      <w:szCs w:val="24"/>
    </w:rPr>
  </w:style>
  <w:style w:type="character" w:styleId="Hyperlink">
    <w:name w:val="Hyperlink"/>
    <w:basedOn w:val="DefaultParagraphFont"/>
    <w:uiPriority w:val="99"/>
    <w:unhideWhenUsed/>
    <w:rPr>
      <w:color w:val="00000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s1x8jmbmot9m6rnwspkfv" Type="http://schemas.openxmlformats.org/officeDocument/2006/relationships/hyperlink" Target="https://www.who.int/initiatives/medication-without-harm" TargetMode="External"/><Relationship Id="rIdd2mcpmpnfcuu4j7fvw30b" Type="http://schemas.openxmlformats.org/officeDocument/2006/relationships/hyperlink" Target="https://doi.org/10.1136/bmj.l4185" TargetMode="External"/><Relationship Id="rId5hhrmdozgbtdm5mixyjoi" Type="http://schemas.openxmlformats.org/officeDocument/2006/relationships/hyperlink" Target="https://doi.org/10.1186/s12916-020-01774-9" TargetMode="External"/><Relationship Id="rIdj1uwtztmlna1u22asmdjc" Type="http://schemas.openxmlformats.org/officeDocument/2006/relationships/hyperlink" Target="https://doi.org/10.1056/NEJMsa2206117" TargetMode="External"/><Relationship Id="rId3q9d90a9wlal2cyagvpwa" Type="http://schemas.openxmlformats.org/officeDocument/2006/relationships/hyperlink" Target="https://doi.org/10.3390/ijerph22101483" TargetMode="External"/><Relationship Id="rId6v59mjtesfqg0jer5cj0c" Type="http://schemas.openxmlformats.org/officeDocument/2006/relationships/hyperlink" Target="https://doi.org/10.1186/s13756-025-01667-7" TargetMode="External"/><Relationship Id="rIdoszzmghxgeh_cfryjfcdh" Type="http://schemas.openxmlformats.org/officeDocument/2006/relationships/hyperlink" Target="https://doi.org/10.1197/jamia.M1809" TargetMode="External"/><Relationship Id="rIdwcs7tzqawihqc5dmr0znb" Type="http://schemas.openxmlformats.org/officeDocument/2006/relationships/hyperlink" Target="https://doi.org/10.2196/15653" TargetMode="External"/><Relationship Id="rIdxfbi1bdpb8xs9ve1ilc-u" Type="http://schemas.openxmlformats.org/officeDocument/2006/relationships/hyperlink" Target="https://doi.org/10.3233/SHTI220101" TargetMode="External"/><Relationship Id="rIdgeu4kgiddvds65seewlpe" Type="http://schemas.openxmlformats.org/officeDocument/2006/relationships/hyperlink" Target="https://doi.org/10.1186/s12911-024-02596-y" TargetMode="External"/><Relationship Id="rId4imbzfjnq7pn8yrrxfxq7" Type="http://schemas.openxmlformats.org/officeDocument/2006/relationships/hyperlink" Target="https://doi.org/10.1093/jamia/ocx010" TargetMode="External"/><Relationship Id="rIdqn5jbu9l15ce18e3wtycb" Type="http://schemas.openxmlformats.org/officeDocument/2006/relationships/hyperlink" Target="https://doi.org/10.1111/bcp.15341" TargetMode="External"/><Relationship Id="rIdjbkgi4qmhbehlp-rp4nka" Type="http://schemas.openxmlformats.org/officeDocument/2006/relationships/hyperlink" Target="https://lhncbc.nlm.nih.gov/RxNav/APIs/InteractionAPIs.html" TargetMode="External"/><Relationship Id="rIdudrh7zn2vijlzupjl8fmh" Type="http://schemas.openxmlformats.org/officeDocument/2006/relationships/hyperlink" Target="https://doi.org/10.1093/nar/gkae726" TargetMode="External"/><Relationship Id="rIdz8v4a4rvtef_hw7ymhini" Type="http://schemas.openxmlformats.org/officeDocument/2006/relationships/hyperlink" Target="https://open.fda.gov/apis/drug/label/searchable-fields/" TargetMode="External"/><Relationship Id="rIdnv-kjxgrtl-cimmt7mezo" Type="http://schemas.openxmlformats.org/officeDocument/2006/relationships/hyperlink" Target="https://dailymed.nlm.nih.gov/dailymed/" TargetMode="External"/><Relationship Id="rId2k0ytm5glzsjscyduhjon" Type="http://schemas.openxmlformats.org/officeDocument/2006/relationships/hyperlink" Target="https://doi.org/10.1093/jamia/ocz166" TargetMode="External"/><Relationship Id="rId2t5ws6pkduclgczh47vp4" Type="http://schemas.openxmlformats.org/officeDocument/2006/relationships/hyperlink" Target="https://doi.org/10.18653/v1/2022.emnlp-main.130" TargetMode="External"/><Relationship Id="rIdsjxkyg6qrhrflflbagelo" Type="http://schemas.openxmlformats.org/officeDocument/2006/relationships/hyperlink" Target="https://doi.org/10.1093/jamia/ocad259" TargetMode="External"/><Relationship Id="rIdsjydps2yaufckp2vohof3" Type="http://schemas.openxmlformats.org/officeDocument/2006/relationships/hyperlink" Target="https://doi.org/10.2147/DHPS.S425858" TargetMode="External"/><Relationship Id="rIdrjc1wuqvf-0n5ffc1n7xi" Type="http://schemas.openxmlformats.org/officeDocument/2006/relationships/hyperlink" Target="https://doi.org/10.7759/cureus.36272" TargetMode="External"/><Relationship Id="rIdmt336albxvcnbbqh1qsgq" Type="http://schemas.openxmlformats.org/officeDocument/2006/relationships/hyperlink" Target="https://doi.org/10.1177/20420986251339358" TargetMode="External"/><Relationship Id="rIdlz1gp909zjhdghaugzp9n" Type="http://schemas.openxmlformats.org/officeDocument/2006/relationships/hyperlink" Target="https://doi.org/10.1145/3571730" TargetMode="External"/><Relationship Id="rIdfskt-iizbv3wgzyp1gm3f" Type="http://schemas.openxmlformats.org/officeDocument/2006/relationships/hyperlink" Target="https://doi.org/10.18653/v1/2024.findings-acl.372" TargetMode="External"/><Relationship Id="rId_0lxky6nntamx1oovfuwy" Type="http://schemas.openxmlformats.org/officeDocument/2006/relationships/hyperlink" Target="https://doi.org/10.1056/AIoa2300068" TargetMode="External"/><Relationship Id="rId2j3lbzq42v5wbgxkfo4k9" Type="http://schemas.openxmlformats.org/officeDocument/2006/relationships/hyperlink" Target="https://doi.org/10.1371/journal.pdig.0000877" TargetMode="External"/><Relationship Id="rIddfwtpwjjvh6gmsbbg2dyu" Type="http://schemas.openxmlformats.org/officeDocument/2006/relationships/hyperlink" Target="https://doi.org/10.1093/jamia/ocx079" TargetMode="External"/><Relationship Id="rId2ryaecye6aihn_hzpjub6" Type="http://schemas.openxmlformats.org/officeDocument/2006/relationships/hyperlink" Target="https://github.com/synthetichealth/synthea" TargetMode="External"/><Relationship Id="rIdvz89fx02eopkxwsx9viod" Type="http://schemas.openxmlformats.org/officeDocument/2006/relationships/hyperlink" Target="https://doi.org/10.1136/amiajnl-2011-000116" TargetMode="External"/><Relationship Id="rIdgkpsi3n3b9-sgm33n0tnr" Type="http://schemas.openxmlformats.org/officeDocument/2006/relationships/hyperlink" Target="https://doi.org/10.2196/60822" TargetMode="External"/><Relationship Id="rIdwwkaanlnepueduefvkxz3" Type="http://schemas.openxmlformats.org/officeDocument/2006/relationships/hyperlink" Target="https://doi.org/10.1016/S0149-2918(01)80109-0" TargetMode="External"/><Relationship Id="rIdpg3x-sqlakxdoxcfzsjvy" Type="http://schemas.openxmlformats.org/officeDocument/2006/relationships/hyperlink" Target="https://doi.org/10.3389/fmed.2024.1369569" TargetMode="External"/><Relationship Id="rIdx1ocsrvxzq3jkn-hzuafo" Type="http://schemas.openxmlformats.org/officeDocument/2006/relationships/hyperlink" Target="https://doi.org/10.1186/s12911-020-01332-6" TargetMode="External"/><Relationship Id="rIdwfyrfyrfnfdozpgohmpch" Type="http://schemas.openxmlformats.org/officeDocument/2006/relationships/hyperlink" Target="https://doi.org/10.3390/app11115088" TargetMode="External"/><Relationship Id="rIdwwe9y4xdgiqgeiicmmi3f" Type="http://schemas.openxmlformats.org/officeDocument/2006/relationships/hyperlink" Target="https://www.fda.gov/regulatory-information/search-fda-guidance-documents/clinical-decision-support-software" TargetMode="External"/><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2026-10-23T05:33:55.782Z</dcterms:created>
  <dcterms:modified xsi:type="dcterms:W3CDTF">2026-10-23T05:33:55.791Z</dcterms:modified>
</cp:coreProperties>
</file>

<file path=docProps/custom.xml><?xml version="1.0" encoding="utf-8"?>
<Properties xmlns="http://schemas.openxmlformats.org/officeDocument/2006/custom-properties" xmlns:vt="http://schemas.openxmlformats.org/officeDocument/2006/docPropsVTypes"/>
</file>