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Times New Roman" w:cs="Times New Roman" w:eastAsia="Times New Roman" w:hAnsi="Times New Roman"/>
          <w:i/>
          <w:iCs/>
          <w:color w:val="000000"/>
          <w:sz w:val="20"/>
          <w:szCs w:val="20"/>
        </w:rPr>
        <w:t xml:space="preserve">Development of an Intelligent System for Medication Safety Assessment Based on Patient Medical History</w:t>
      </w:r>
    </w:p>
    <w:p>
      <w:pPr>
        <w:pStyle w:val="Heading1"/>
      </w:pPr>
      <w:r>
        <w:rPr>
          <w:rFonts w:ascii="Times New Roman" w:cs="Times New Roman" w:eastAsia="Times New Roman" w:hAnsi="Times New Roman"/>
        </w:rPr>
        <w:t xml:space="preserve">9. Verification and Evaluation Plan</w:t>
      </w:r>
    </w:p>
    <w:p>
      <w:pPr>
        <w:spacing w:after="120" w:line="288"/>
        <w:jc w:val="both"/>
      </w:pPr>
      <w:r>
        <w:rPr>
          <w:rFonts w:ascii="Times New Roman" w:cs="Times New Roman" w:eastAsia="Times New Roman" w:hAnsi="Times New Roman"/>
        </w:rPr>
        <w:t xml:space="preserve">The aim is achieved if the system (a) detects the defined medication risks from patient history more completely and with fewer unsupported statements than simpler approaches, and (b) produces correct intake schedules, while meeting the Must requirements. The evaluation is technical (correct detection of pre-defined risks), not a clinical-outcome study.</w:t>
      </w:r>
    </w:p>
    <w:p>
      <w:pPr>
        <w:pStyle w:val="Heading2"/>
      </w:pPr>
      <w:r>
        <w:rPr>
          <w:rFonts w:ascii="Times New Roman" w:cs="Times New Roman" w:eastAsia="Times New Roman" w:hAnsi="Times New Roman"/>
        </w:rPr>
        <w:t xml:space="preserve">9.1 Research question and hypotheses</w:t>
      </w:r>
    </w:p>
    <w:p>
      <w:pPr>
        <w:spacing w:after="120" w:line="288"/>
        <w:jc w:val="both"/>
      </w:pPr>
      <w:r>
        <w:rPr>
          <w:rFonts w:ascii="Times New Roman" w:cs="Times New Roman" w:eastAsia="Times New Roman" w:hAnsi="Times New Roman"/>
          <w:b/>
          <w:bCs/>
        </w:rPr>
        <w:t xml:space="preserve">RQ:</w:t>
      </w:r>
      <w:r>
        <w:rPr>
          <w:rFonts w:ascii="Times New Roman" w:cs="Times New Roman" w:eastAsia="Times New Roman" w:hAnsi="Times New Roman"/>
        </w:rPr>
        <w:t xml:space="preserve"> Does a hybrid system that combines a deterministic rule base over normalised codes, retrieval from official drug labels and an LLM for extraction and explanation detect relevant medication risks from patient history more accurately and reliably than rule-only or LLM-only approaches?</w:t>
      </w:r>
    </w:p>
    <w:p>
      <w:pPr>
        <w:pStyle w:val="ListParagraph"/>
        <w:numPr>
          <w:ilvl w:val="0"/>
          <w:numId w:val="2"/>
        </w:numPr>
        <w:spacing w:after="60" w:line="276"/>
      </w:pPr>
      <w:r>
        <w:rPr>
          <w:rFonts w:ascii="Times New Roman" w:cs="Times New Roman" w:eastAsia="Times New Roman" w:hAnsi="Times New Roman"/>
          <w:b/>
          <w:bCs/>
        </w:rPr>
        <w:t xml:space="preserve">H1:</w:t>
      </w:r>
      <w:r>
        <w:rPr>
          <w:rFonts w:ascii="Times New Roman" w:cs="Times New Roman" w:eastAsia="Times New Roman" w:hAnsi="Times New Roman"/>
        </w:rPr>
        <w:t xml:space="preserve"> The hybrid approach (D) has higher recall than LLM-only (B) and higher recall than keyword rules (A) on scenarios that require information from free-text notes.</w:t>
      </w:r>
    </w:p>
    <w:p>
      <w:pPr>
        <w:pStyle w:val="ListParagraph"/>
        <w:numPr>
          <w:ilvl w:val="0"/>
          <w:numId w:val="2"/>
        </w:numPr>
        <w:spacing w:after="60" w:line="276"/>
      </w:pPr>
      <w:r>
        <w:rPr>
          <w:rFonts w:ascii="Times New Roman" w:cs="Times New Roman" w:eastAsia="Times New Roman" w:hAnsi="Times New Roman"/>
          <w:b/>
          <w:bCs/>
        </w:rPr>
        <w:t xml:space="preserve">H2:</w:t>
      </w:r>
      <w:r>
        <w:rPr>
          <w:rFonts w:ascii="Times New Roman" w:cs="Times New Roman" w:eastAsia="Times New Roman" w:hAnsi="Times New Roman"/>
        </w:rPr>
        <w:t xml:space="preserve"> The hybrid approach has a lower hallucination rate in explanations than RAG + LLM without rules (C) and LLM-only (B).</w:t>
      </w:r>
    </w:p>
    <w:p>
      <w:pPr>
        <w:pStyle w:val="ListParagraph"/>
        <w:numPr>
          <w:ilvl w:val="0"/>
          <w:numId w:val="2"/>
        </w:numPr>
        <w:spacing w:after="60" w:line="276"/>
      </w:pPr>
      <w:r>
        <w:rPr>
          <w:rFonts w:ascii="Times New Roman" w:cs="Times New Roman" w:eastAsia="Times New Roman" w:hAnsi="Times New Roman"/>
          <w:b/>
          <w:bCs/>
        </w:rPr>
        <w:t xml:space="preserve">H3:</w:t>
      </w:r>
      <w:r>
        <w:rPr>
          <w:rFonts w:ascii="Times New Roman" w:cs="Times New Roman" w:eastAsia="Times New Roman" w:hAnsi="Times New Roman"/>
        </w:rPr>
        <w:t xml:space="preserve"> The false-negative rate on critical scenarios is lowest for D.</w:t>
      </w:r>
    </w:p>
    <w:p>
      <w:pPr>
        <w:pStyle w:val="Heading2"/>
      </w:pPr>
      <w:r>
        <w:rPr>
          <w:rFonts w:ascii="Times New Roman" w:cs="Times New Roman" w:eastAsia="Times New Roman" w:hAnsi="Times New Roman"/>
        </w:rPr>
        <w:t xml:space="preserve">9.2 Compared approaches (baselines)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15"/>
        <w:gridCol w:w="2461"/>
        <w:gridCol w:w="5950"/>
      </w:tblGrid>
      <w:tr>
        <w:trPr>
          <w:tblHeader/>
        </w:trPr>
        <w:tc>
          <w:tcPr>
            <w:tcW w:type="dxa" w:w="61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ID</w:t>
            </w:r>
          </w:p>
        </w:tc>
        <w:tc>
          <w:tcPr>
            <w:tcW w:type="dxa" w:w="2461"/>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Approach</w:t>
            </w:r>
          </w:p>
        </w:tc>
        <w:tc>
          <w:tcPr>
            <w:tcW w:type="dxa" w:w="5950"/>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Description</w:t>
            </w:r>
          </w:p>
        </w:tc>
      </w:tr>
      <w:tr>
        <w:trPr>
          <w:cantSplit/>
        </w:trPr>
        <w:tc>
          <w:tcPr>
            <w:tcW w:type="dxa" w:w="61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w:t>
            </w:r>
          </w:p>
        </w:tc>
        <w:tc>
          <w:tcPr>
            <w:tcW w:type="dxa" w:w="24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Rules + keyword matching (baseline)</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String matching of drug names against the rule base; no normalisation, no free-text extraction.</w:t>
            </w:r>
          </w:p>
        </w:tc>
      </w:tr>
      <w:tr>
        <w:trPr>
          <w:cantSplit/>
        </w:trPr>
        <w:tc>
          <w:tcPr>
            <w:tcW w:type="dxa" w:w="61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B</w:t>
            </w:r>
          </w:p>
        </w:tc>
        <w:tc>
          <w:tcPr>
            <w:tcW w:type="dxa" w:w="24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LLM-only (research baseline)</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The patient summary and proposed drug are given to the LLM, which lists risks without retrieval.</w:t>
            </w:r>
          </w:p>
        </w:tc>
      </w:tr>
      <w:tr>
        <w:trPr>
          <w:cantSplit/>
        </w:trPr>
        <w:tc>
          <w:tcPr>
            <w:tcW w:type="dxa" w:w="61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C</w:t>
            </w:r>
          </w:p>
        </w:tc>
        <w:tc>
          <w:tcPr>
            <w:tcW w:type="dxa" w:w="24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RAG + LLM</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The LLM receives retrieved label passages and decides on risks and explanations.</w:t>
            </w:r>
          </w:p>
        </w:tc>
      </w:tr>
      <w:tr>
        <w:trPr>
          <w:cantSplit/>
        </w:trPr>
        <w:tc>
          <w:tcPr>
            <w:tcW w:type="dxa" w:w="61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D</w:t>
            </w:r>
          </w:p>
        </w:tc>
        <w:tc>
          <w:tcPr>
            <w:tcW w:type="dxa" w:w="2461"/>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Hybrid (proposed)</w:t>
            </w:r>
          </w:p>
        </w:tc>
        <w:tc>
          <w:tcPr>
            <w:tcW w:type="dxa" w:w="5950"/>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NLP extraction → RxNorm normalisation → rule engine decides alerts → RAG + LLM explains, with support check.</w:t>
            </w:r>
          </w:p>
        </w:tc>
      </w:tr>
    </w:tbl>
    <w:p>
      <w:pPr>
        <w:spacing w:after="80"/>
      </w:pPr>
    </w:p>
    <w:p>
      <w:pPr>
        <w:pStyle w:val="Heading2"/>
      </w:pPr>
      <w:r>
        <w:rPr>
          <w:rFonts w:ascii="Times New Roman" w:cs="Times New Roman" w:eastAsia="Times New Roman" w:hAnsi="Times New Roman"/>
        </w:rPr>
        <w:t xml:space="preserve">9.3 Test data</w:t>
      </w:r>
    </w:p>
    <w:p>
      <w:pPr>
        <w:pStyle w:val="ListParagraph"/>
        <w:numPr>
          <w:ilvl w:val="0"/>
          <w:numId w:val="2"/>
        </w:numPr>
        <w:spacing w:after="60" w:line="276"/>
      </w:pPr>
      <w:r>
        <w:rPr>
          <w:rFonts w:ascii="Times New Roman" w:cs="Times New Roman" w:eastAsia="Times New Roman" w:hAnsi="Times New Roman"/>
          <w:b/>
          <w:bCs/>
        </w:rPr>
        <w:t xml:space="preserve">Patients:</w:t>
      </w:r>
      <w:r>
        <w:rPr>
          <w:rFonts w:ascii="Times New Roman" w:cs="Times New Roman" w:eastAsia="Times New Roman" w:hAnsi="Times New Roman"/>
        </w:rPr>
        <w:t xml:space="preserve"> 1,000 synthetic patients produced by the team’s own data generator with a fixed random seed (NFR-21): adults and students with profiles, patient-reported and doctor-confirmed history (conditions with ICD-10 codes, allergies, current medicines including over-the-counter drugs) and clinics with doctors of several specialties. The generator is calibrated to the population described in the interview (Section 2.2): students taking 1–3 drugs and staff taking 4–6.</w:t>
      </w:r>
    </w:p>
    <w:p>
      <w:pPr>
        <w:pStyle w:val="ListParagraph"/>
        <w:numPr>
          <w:ilvl w:val="0"/>
          <w:numId w:val="2"/>
        </w:numPr>
        <w:spacing w:after="60" w:line="276"/>
      </w:pPr>
      <w:r>
        <w:rPr>
          <w:rFonts w:ascii="Times New Roman" w:cs="Times New Roman" w:eastAsia="Times New Roman" w:hAnsi="Times New Roman"/>
          <w:b/>
          <w:bCs/>
        </w:rPr>
        <w:t xml:space="preserve">Scenarios:</w:t>
      </w:r>
      <w:r>
        <w:rPr>
          <w:rFonts w:ascii="Times New Roman" w:cs="Times New Roman" w:eastAsia="Times New Roman" w:hAnsi="Times New Roman"/>
        </w:rPr>
        <w:t xml:space="preserve"> for each patient, a proposed drug from the in-scope groups is added by a scenario generator. Scenario classes: (S1) known drug allergy or class cross-reactivity; (S2) drug–drug interaction; (S3) drug–disease contraindication; (S4) duplicate therapy; (S5) several risks at once; (S6) safe combination, no alert expected; (S7) incomplete data, “insufficient data” expected; (S8) risk factor present only in free text; (S9) dose above the label range.</w:t>
      </w:r>
    </w:p>
    <w:p>
      <w:pPr>
        <w:pStyle w:val="ListParagraph"/>
        <w:numPr>
          <w:ilvl w:val="0"/>
          <w:numId w:val="2"/>
        </w:numPr>
        <w:spacing w:after="60" w:line="276"/>
      </w:pPr>
      <w:r>
        <w:rPr>
          <w:rFonts w:ascii="Times New Roman" w:cs="Times New Roman" w:eastAsia="Times New Roman" w:hAnsi="Times New Roman"/>
          <w:b/>
          <w:bCs/>
        </w:rPr>
        <w:t xml:space="preserve">Free-text notes:</w:t>
      </w:r>
      <w:r>
        <w:rPr>
          <w:rFonts w:ascii="Times New Roman" w:cs="Times New Roman" w:eastAsia="Times New Roman" w:hAnsi="Times New Roman"/>
        </w:rPr>
        <w:t xml:space="preserve"> visit notes and patient-written history are generated from the structured synthetic record by templates and an LLM paraphraser from a different model family than the extractor (to avoid same-model bias), including Russian brand names, abbreviations and typos; because the notes are produced from known structured data, the entity ground truth is known exactly.</w:t>
      </w:r>
    </w:p>
    <w:p>
      <w:pPr>
        <w:pStyle w:val="ListParagraph"/>
        <w:numPr>
          <w:ilvl w:val="0"/>
          <w:numId w:val="2"/>
        </w:numPr>
        <w:spacing w:after="60" w:line="276"/>
      </w:pPr>
      <w:r>
        <w:rPr>
          <w:rFonts w:ascii="Times New Roman" w:cs="Times New Roman" w:eastAsia="Times New Roman" w:hAnsi="Times New Roman"/>
          <w:b/>
          <w:bCs/>
        </w:rPr>
        <w:t xml:space="preserve">Gold standard (independent of the system):</w:t>
      </w:r>
      <w:r>
        <w:rPr>
          <w:rFonts w:ascii="Times New Roman" w:cs="Times New Roman" w:eastAsia="Times New Roman" w:hAnsi="Times New Roman"/>
        </w:rPr>
        <w:t xml:space="preserve"> expected risks are labelled from the official label sections (contraindications, warnings, drug interactions) of the drugs in each scenario by two team members working independently of the rule base, with disagreements resolved by discussion and Cohen’s κ reported; a stratified sample of ≥ 100 scenarios is additionally reviewed by a pharmacist or physician if available (see Section 2.5). DDInter is used to build the rule base, not the gold standard, so approach D is not evaluated against its own rules.</w:t>
      </w:r>
    </w:p>
    <w:p>
      <w:pPr>
        <w:pStyle w:val="ListParagraph"/>
        <w:numPr>
          <w:ilvl w:val="0"/>
          <w:numId w:val="2"/>
        </w:numPr>
        <w:spacing w:after="60" w:line="276"/>
      </w:pPr>
      <w:r>
        <w:rPr>
          <w:rFonts w:ascii="Times New Roman" w:cs="Times New Roman" w:eastAsia="Times New Roman" w:hAnsi="Times New Roman"/>
          <w:b/>
          <w:bCs/>
        </w:rPr>
        <w:t xml:space="preserve">Split:</w:t>
      </w:r>
      <w:r>
        <w:rPr>
          <w:rFonts w:ascii="Times New Roman" w:cs="Times New Roman" w:eastAsia="Times New Roman" w:hAnsi="Times New Roman"/>
        </w:rPr>
        <w:t xml:space="preserve"> development 60 % (rule and prompt tuning), validation 20 % (thresholds), test 20 % (used once for final results). Target size of the test split: ≥ 600 scenarios, ≥ 50 per class.</w:t>
      </w:r>
    </w:p>
    <w:p>
      <w:pPr>
        <w:pStyle w:val="ListParagraph"/>
        <w:numPr>
          <w:ilvl w:val="0"/>
          <w:numId w:val="2"/>
        </w:numPr>
        <w:spacing w:after="60" w:line="276"/>
      </w:pPr>
      <w:r>
        <w:rPr>
          <w:rFonts w:ascii="Times New Roman" w:cs="Times New Roman" w:eastAsia="Times New Roman" w:hAnsi="Times New Roman"/>
          <w:b/>
          <w:bCs/>
        </w:rPr>
        <w:t xml:space="preserve">Scoring:</w:t>
      </w:r>
      <w:r>
        <w:rPr>
          <w:rFonts w:ascii="Times New Roman" w:cs="Times New Roman" w:eastAsia="Times New Roman" w:hAnsi="Times New Roman"/>
        </w:rPr>
        <w:t xml:space="preserve"> an alert counts as a true positive when its type and the drug pair / drug–condition / drug–allergy pair match a gold-standard risk; severity is scored separately. Results are reported per check type and overall (micro- and macro-averaged).</w:t>
      </w:r>
    </w:p>
    <w:p>
      <w:pPr>
        <w:pStyle w:val="ListParagraph"/>
        <w:numPr>
          <w:ilvl w:val="0"/>
          <w:numId w:val="2"/>
        </w:numPr>
        <w:spacing w:after="60" w:line="276"/>
      </w:pPr>
      <w:r>
        <w:rPr>
          <w:rFonts w:ascii="Times New Roman" w:cs="Times New Roman" w:eastAsia="Times New Roman" w:hAnsi="Times New Roman"/>
          <w:b/>
          <w:bCs/>
        </w:rPr>
        <w:t xml:space="preserve">Schedule baseline:</w:t>
      </w:r>
      <w:r>
        <w:rPr>
          <w:rFonts w:ascii="Times New Roman" w:cs="Times New Roman" w:eastAsia="Times New Roman" w:hAnsi="Times New Roman"/>
        </w:rPr>
        <w:t xml:space="preserve"> the generated schedule is compared with a naive baseline that places every drug at its own default times; compared on hard-constraint satisfaction (must be 100 % for both) and the number of distinct reminder times per day (expected to be lower for the generator).</w:t>
      </w:r>
    </w:p>
    <w:p>
      <w:pPr>
        <w:pStyle w:val="Heading2"/>
      </w:pPr>
      <w:r>
        <w:rPr>
          <w:rFonts w:ascii="Times New Roman" w:cs="Times New Roman" w:eastAsia="Times New Roman" w:hAnsi="Times New Roman"/>
        </w:rPr>
        <w:t xml:space="preserve">9.4 Metrics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7"/>
        <w:gridCol w:w="3897"/>
        <w:gridCol w:w="2052"/>
      </w:tblGrid>
      <w:tr>
        <w:trPr>
          <w:tblHeader/>
        </w:trPr>
        <w:tc>
          <w:tcPr>
            <w:tcW w:type="dxa" w:w="3077"/>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Metric</w:t>
            </w:r>
          </w:p>
        </w:tc>
        <w:tc>
          <w:tcPr>
            <w:tcW w:type="dxa" w:w="3897"/>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What it measures</w:t>
            </w:r>
          </w:p>
        </w:tc>
        <w:tc>
          <w:tcPr>
            <w:tcW w:type="dxa" w:w="2052"/>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Target for D</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Precision, Recall, F1 (per check type and overall)</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Correctness and completeness of alerts vs gold standard</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F1 ≥ 0.85</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False-negative rate on critical scenarios</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Missed dangerous combinations</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5 %</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Severity accuracy</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Alert assigned the correct level</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0.85</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Specificity on safe scenarios (S6)</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Avoiding unnecessary alerts (alert fatigue)</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0.90</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Abstention accuracy (S7)</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“Insufficient data” returned when expected</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0.90</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Entity extraction F1</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NLP module quality (medications, allergies, conditions)</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0.80</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Normalisation accuracy</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Brand / generic name mapped to the correct active ingredient (FR-19)</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0.95</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Retrieval Recall@5</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Correct label section among top-5 passages</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0.85</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Citation accuracy</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Cited passage actually supports the alert</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0.95</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Hallucination rate</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Explanation statements not supported by the evidence</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5 %</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Dose-range flag accuracy (S9)</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Dose within / above label range correctly flagged (FR-26)</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100 % on 30 cases</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Schedule constraint satisfaction</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Hard constraints met on 30 schedule test cases (FR-33)</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100 %</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Reminder delivery</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Telegram reminders sent on time in a 48-hour simulated run (FR-36, NFR-22)</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99 % within 60 s</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Administrator data isolation</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Personal or clinical fields returned to the Administrator role (FR-02)</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0</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Latency p50 / p95</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Response time of safety check (NFR-01)</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p95 ≤ 3 s (no LLM), ≤ 10 s (with LLM)</w:t>
            </w:r>
          </w:p>
        </w:tc>
      </w:tr>
      <w:tr>
        <w:trPr>
          <w:cantSplit/>
        </w:trPr>
        <w:tc>
          <w:tcPr>
            <w:tcW w:type="dxa" w:w="307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SUS score</w:t>
            </w:r>
          </w:p>
        </w:tc>
        <w:tc>
          <w:tcPr>
            <w:tcW w:type="dxa" w:w="3897"/>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Perceived usability, ≥ 5 participants (NFR-12)</w:t>
            </w:r>
          </w:p>
        </w:tc>
        <w:tc>
          <w:tcPr>
            <w:tcW w:type="dxa" w:w="2052"/>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 70</w:t>
            </w:r>
          </w:p>
        </w:tc>
      </w:tr>
    </w:tbl>
    <w:p>
      <w:pPr>
        <w:spacing w:after="80"/>
      </w:pPr>
    </w:p>
    <w:p>
      <w:pPr>
        <w:pStyle w:val="Heading2"/>
      </w:pPr>
      <w:r>
        <w:rPr>
          <w:rFonts w:ascii="Times New Roman" w:cs="Times New Roman" w:eastAsia="Times New Roman" w:hAnsi="Times New Roman"/>
        </w:rPr>
        <w:t xml:space="preserve">9.5 Measurement conditions</w:t>
      </w:r>
    </w:p>
    <w:p>
      <w:pPr>
        <w:pStyle w:val="ListParagraph"/>
        <w:numPr>
          <w:ilvl w:val="0"/>
          <w:numId w:val="2"/>
        </w:numPr>
        <w:spacing w:after="60" w:line="276"/>
      </w:pPr>
      <w:r>
        <w:rPr>
          <w:rFonts w:ascii="Times New Roman" w:cs="Times New Roman" w:eastAsia="Times New Roman" w:hAnsi="Times New Roman"/>
        </w:rPr>
        <w:t xml:space="preserve">Single machine, Docker Compose, fixed versions of model weights, rule base, label download date and the seed of the team’s data generator; all recorded in the results file.</w:t>
      </w:r>
    </w:p>
    <w:p>
      <w:pPr>
        <w:pStyle w:val="ListParagraph"/>
        <w:numPr>
          <w:ilvl w:val="0"/>
          <w:numId w:val="2"/>
        </w:numPr>
        <w:spacing w:after="60" w:line="276"/>
      </w:pPr>
      <w:r>
        <w:rPr>
          <w:rFonts w:ascii="Times New Roman" w:cs="Times New Roman" w:eastAsia="Times New Roman" w:hAnsi="Times New Roman"/>
        </w:rPr>
        <w:t xml:space="preserve">Each approach runs on the identical test split with the same locally served model (no patient text leaves the deployment, NFR-08); LLM temperature 0; 3 repeated runs for LLM-based approaches, mean and standard deviation reported.</w:t>
      </w:r>
    </w:p>
    <w:p>
      <w:pPr>
        <w:pStyle w:val="ListParagraph"/>
        <w:numPr>
          <w:ilvl w:val="0"/>
          <w:numId w:val="2"/>
        </w:numPr>
        <w:spacing w:after="60" w:line="276"/>
      </w:pPr>
      <w:r>
        <w:rPr>
          <w:rFonts w:ascii="Times New Roman" w:cs="Times New Roman" w:eastAsia="Times New Roman" w:hAnsi="Times New Roman"/>
        </w:rPr>
        <w:t xml:space="preserve">Statistical comparison of D vs each baseline with McNemar’s test on paired per-scenario outcomes (α = 0.05).</w:t>
      </w:r>
    </w:p>
    <w:p>
      <w:pPr>
        <w:pStyle w:val="ListParagraph"/>
        <w:numPr>
          <w:ilvl w:val="0"/>
          <w:numId w:val="2"/>
        </w:numPr>
        <w:spacing w:after="60" w:line="276"/>
      </w:pPr>
      <w:r>
        <w:rPr>
          <w:rFonts w:ascii="Times New Roman" w:cs="Times New Roman" w:eastAsia="Times New Roman" w:hAnsi="Times New Roman"/>
        </w:rPr>
        <w:t xml:space="preserve">Hallucination and citation accuracy: automatic support check with an off-the-shelf natural-language-inference model (e.g. a DeBERTa-MNLI checkpoint) on all explanations plus manual review of a random sample of 100 explanations by two team members (agreement reported).</w:t>
      </w:r>
    </w:p>
    <w:p>
      <w:pPr>
        <w:pStyle w:val="ListParagraph"/>
        <w:numPr>
          <w:ilvl w:val="0"/>
          <w:numId w:val="2"/>
        </w:numPr>
        <w:spacing w:after="60" w:line="276"/>
      </w:pPr>
      <w:r>
        <w:rPr>
          <w:rFonts w:ascii="Times New Roman" w:cs="Times New Roman" w:eastAsia="Times New Roman" w:hAnsi="Times New Roman"/>
        </w:rPr>
        <w:t xml:space="preserve">Error analysis: every false negative on critical scenarios is categorised (extraction, normalisation, missing rule, retrieval, other).</w:t>
      </w:r>
    </w:p>
    <w:p>
      <w:pPr>
        <w:pStyle w:val="Heading2"/>
      </w:pPr>
      <w:r>
        <w:rPr>
          <w:rFonts w:ascii="Times New Roman" w:cs="Times New Roman" w:eastAsia="Times New Roman" w:hAnsi="Times New Roman"/>
        </w:rPr>
        <w:t xml:space="preserve">9.6 Software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5"/>
        <w:gridCol w:w="5128"/>
        <w:gridCol w:w="2463"/>
      </w:tblGrid>
      <w:tr>
        <w:trPr>
          <w:tblHeader/>
        </w:trPr>
        <w:tc>
          <w:tcPr>
            <w:tcW w:type="dxa" w:w="1435"/>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Level</w:t>
            </w:r>
          </w:p>
        </w:tc>
        <w:tc>
          <w:tcPr>
            <w:tcW w:type="dxa" w:w="5128"/>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Scope</w:t>
            </w:r>
          </w:p>
        </w:tc>
        <w:tc>
          <w:tcPr>
            <w:tcW w:type="dxa" w:w="2463"/>
            <w:tcBorders>
              <w:top w:val="single" w:color="808080" w:sz="4"/>
              <w:left w:val="single" w:color="808080" w:sz="4"/>
              <w:bottom w:val="single" w:color="808080" w:sz="4"/>
              <w:right w:val="single" w:color="808080" w:sz="4"/>
            </w:tcBorders>
            <w:shd w:fill="E7E6E6" w:color="auto" w:val="clear"/>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bCs/>
                <w:sz w:val="19"/>
                <w:szCs w:val="19"/>
              </w:rPr>
              <w:t xml:space="preserve">Tools</w:t>
            </w:r>
          </w:p>
        </w:tc>
      </w:tr>
      <w:tr>
        <w:trPr>
          <w:cantSplit/>
        </w:trPr>
        <w:tc>
          <w:tcPr>
            <w:tcW w:type="dxa" w:w="143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Unit</w:t>
            </w:r>
          </w:p>
        </w:tc>
        <w:tc>
          <w:tcPr>
            <w:tcW w:type="dxa" w:w="51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Rule engine (each check type, ≥ 20 positive and negative cases), normaliser, schedule constraints</w:t>
            </w:r>
          </w:p>
        </w:tc>
        <w:tc>
          <w:tcPr>
            <w:tcW w:type="dxa" w:w="24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pytest, hypothesis</w:t>
            </w:r>
          </w:p>
        </w:tc>
      </w:tr>
      <w:tr>
        <w:trPr>
          <w:cantSplit/>
        </w:trPr>
        <w:tc>
          <w:tcPr>
            <w:tcW w:type="dxa" w:w="143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Integration</w:t>
            </w:r>
          </w:p>
        </w:tc>
        <w:tc>
          <w:tcPr>
            <w:tcW w:type="dxa" w:w="51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API + database + RxNav client (recorded responses), Celery reminders, Telegram bot adapter (mocked Bot API)</w:t>
            </w:r>
          </w:p>
        </w:tc>
        <w:tc>
          <w:tcPr>
            <w:tcW w:type="dxa" w:w="24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pytest, testcontainers, VCR.py</w:t>
            </w:r>
          </w:p>
        </w:tc>
      </w:tr>
      <w:tr>
        <w:trPr>
          <w:cantSplit/>
        </w:trPr>
        <w:tc>
          <w:tcPr>
            <w:tcW w:type="dxa" w:w="143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End-to-end</w:t>
            </w:r>
          </w:p>
        </w:tc>
        <w:tc>
          <w:tcPr>
            <w:tcW w:type="dxa" w:w="51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Scenarios of Section 8 in the browser</w:t>
            </w:r>
          </w:p>
        </w:tc>
        <w:tc>
          <w:tcPr>
            <w:tcW w:type="dxa" w:w="24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Playwright</w:t>
            </w:r>
          </w:p>
        </w:tc>
      </w:tr>
      <w:tr>
        <w:trPr>
          <w:cantSplit/>
        </w:trPr>
        <w:tc>
          <w:tcPr>
            <w:tcW w:type="dxa" w:w="143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Non-functional</w:t>
            </w:r>
          </w:p>
        </w:tc>
        <w:tc>
          <w:tcPr>
            <w:tcW w:type="dxa" w:w="51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Latency (NFR-01), role permissions and Administrator data isolation (FR-01, FR-02, NFR-07), secrets scanning</w:t>
            </w:r>
          </w:p>
        </w:tc>
        <w:tc>
          <w:tcPr>
            <w:tcW w:type="dxa" w:w="24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Locust, pytest, gitleaks</w:t>
            </w:r>
          </w:p>
        </w:tc>
      </w:tr>
      <w:tr>
        <w:trPr>
          <w:cantSplit/>
        </w:trPr>
        <w:tc>
          <w:tcPr>
            <w:tcW w:type="dxa" w:w="1435"/>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Usability</w:t>
            </w:r>
          </w:p>
        </w:tc>
        <w:tc>
          <w:tcPr>
            <w:tcW w:type="dxa" w:w="5128"/>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Task-based test with SUS questionnaire, ≥ 5 participants (medical students / clinicians)</w:t>
            </w:r>
          </w:p>
        </w:tc>
        <w:tc>
          <w:tcPr>
            <w:tcW w:type="dxa" w:w="2463"/>
            <w:tcBorders>
              <w:top w:val="single" w:color="808080" w:sz="4"/>
              <w:left w:val="single" w:color="808080" w:sz="4"/>
              <w:bottom w:val="single" w:color="808080" w:sz="4"/>
              <w:right w:val="single" w:color="808080" w:sz="4"/>
            </w:tcBorders>
            <w:tcMar>
              <w:top w:type="dxa" w:w="50"/>
              <w:left w:type="dxa" w:w="90"/>
              <w:bottom w:type="dxa" w:w="50"/>
              <w:right w:type="dxa" w:w="90"/>
            </w:tcMar>
            <w:vAlign w:val="top"/>
          </w:tcPr>
          <w:p>
            <w:pPr>
              <w:spacing w:after="20" w:line="252"/>
              <w:jc w:val="left"/>
            </w:pPr>
            <w:r>
              <w:rPr>
                <w:rFonts w:ascii="Times New Roman" w:cs="Times New Roman" w:eastAsia="Times New Roman" w:hAnsi="Times New Roman"/>
                <w:b w:val="false"/>
                <w:bCs w:val="false"/>
                <w:sz w:val="19"/>
                <w:szCs w:val="19"/>
              </w:rPr>
              <w:t xml:space="preserve">Moderated sessions</w:t>
            </w:r>
          </w:p>
        </w:tc>
      </w:tr>
    </w:tbl>
    <w:p>
      <w:pPr>
        <w:spacing w:after="80"/>
      </w:pP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spacing w:after="120" w:before="260"/>
      <w:outlineLvl w:val="1"/>
    </w:pPr>
    <w:rPr>
      <w:rFonts w:ascii="Times New Roman" w:cs="Times New Roman" w:eastAsia="Times New Roman" w:hAnsi="Times New Roman"/>
      <w:b/>
      <w:bCs/>
      <w:color w:val="000000"/>
      <w:sz w:val="27"/>
      <w:szCs w:val="27"/>
    </w:rPr>
  </w:style>
  <w:style w:type="paragraph" w:styleId="Heading3">
    <w:name w:val="Heading 3"/>
    <w:basedOn w:val="Normal"/>
    <w:next w:val="Normal"/>
    <w:qFormat/>
    <w:pPr>
      <w:keepNext/>
      <w:spacing w:after="80" w:before="180"/>
      <w:outlineLvl w:val="2"/>
    </w:pPr>
    <w:rPr>
      <w:rFonts w:ascii="Times New Roman" w:cs="Times New Roman" w:eastAsia="Times New Roman" w:hAnsi="Times New Roman"/>
      <w:b/>
      <w:bCs/>
      <w:i/>
      <w:iCs/>
      <w:sz w:val="24"/>
      <w:szCs w:val="24"/>
    </w:rPr>
  </w:style>
  <w:style w:type="character" w:styleId="Hyperlink">
    <w:name w:val="Hyperlink"/>
    <w:basedOn w:val="DefaultParagraphFont"/>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2026-10-23T05:33:56.638Z</dcterms:created>
  <dcterms:modified xsi:type="dcterms:W3CDTF">2026-10-23T05:33:56.638Z</dcterms:modified>
</cp:coreProperties>
</file>

<file path=docProps/custom.xml><?xml version="1.0" encoding="utf-8"?>
<Properties xmlns="http://schemas.openxmlformats.org/officeDocument/2006/custom-properties" xmlns:vt="http://schemas.openxmlformats.org/officeDocument/2006/docPropsVTypes"/>
</file>