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i/>
          <w:iCs/>
          <w:color w:val="000000"/>
          <w:sz w:val="20"/>
          <w:szCs w:val="20"/>
        </w:rPr>
        <w:t xml:space="preserve">Development of an Intelligent System for Medication Safety Assessment Based on Patient Medical History</w:t>
      </w:r>
    </w:p>
    <w:p>
      <w:pPr>
        <w:pStyle w:val="Heading1"/>
      </w:pPr>
      <w:r>
        <w:rPr>
          <w:rFonts w:ascii="Times New Roman" w:cs="Times New Roman" w:eastAsia="Times New Roman" w:hAnsi="Times New Roman"/>
        </w:rPr>
        <w:t xml:space="preserve">7. Architecture and Diagrams</w:t>
      </w:r>
    </w:p>
    <w:p>
      <w:pPr>
        <w:pStyle w:val="Heading2"/>
      </w:pPr>
      <w:r>
        <w:rPr>
          <w:rFonts w:ascii="Times New Roman" w:cs="Times New Roman" w:eastAsia="Times New Roman" w:hAnsi="Times New Roman"/>
        </w:rPr>
        <w:t xml:space="preserve">Architectural principles</w:t>
      </w:r>
    </w:p>
    <w:p>
      <w:pPr>
        <w:pStyle w:val="ListParagraph"/>
        <w:numPr>
          <w:ilvl w:val="0"/>
          <w:numId w:val="2"/>
        </w:numPr>
        <w:spacing w:after="60" w:line="276"/>
      </w:pPr>
      <w:r>
        <w:rPr>
          <w:rFonts w:ascii="Times New Roman" w:cs="Times New Roman" w:eastAsia="Times New Roman" w:hAnsi="Times New Roman"/>
          <w:b/>
          <w:bCs/>
        </w:rPr>
        <w:t xml:space="preserve">Rules decide, AI explains.</w:t>
      </w:r>
      <w:r>
        <w:rPr>
          <w:rFonts w:ascii="Times New Roman" w:cs="Times New Roman" w:eastAsia="Times New Roman" w:hAnsi="Times New Roman"/>
        </w:rPr>
        <w:t xml:space="preserve"> Alerts are generated by the deterministic Drug Safety Engine over normalised codes; NLP and LLM components prepare inputs and explain outputs, but cannot add or remove alerts (NFR-03).</w:t>
      </w:r>
    </w:p>
    <w:p>
      <w:pPr>
        <w:pStyle w:val="ListParagraph"/>
        <w:numPr>
          <w:ilvl w:val="0"/>
          <w:numId w:val="2"/>
        </w:numPr>
        <w:spacing w:after="60" w:line="276"/>
      </w:pPr>
      <w:r>
        <w:rPr>
          <w:rFonts w:ascii="Times New Roman" w:cs="Times New Roman" w:eastAsia="Times New Roman" w:hAnsi="Times New Roman"/>
          <w:b/>
          <w:bCs/>
        </w:rPr>
        <w:t xml:space="preserve">Evidence first.</w:t>
      </w:r>
      <w:r>
        <w:rPr>
          <w:rFonts w:ascii="Times New Roman" w:cs="Times New Roman" w:eastAsia="Times New Roman" w:hAnsi="Times New Roman"/>
        </w:rPr>
        <w:t xml:space="preserve"> Every rule and every explanation is linked to a stored source passage with source date and version (FR-28, NFR-10).</w:t>
      </w:r>
    </w:p>
    <w:p>
      <w:pPr>
        <w:pStyle w:val="ListParagraph"/>
        <w:numPr>
          <w:ilvl w:val="0"/>
          <w:numId w:val="2"/>
        </w:numPr>
        <w:spacing w:after="60" w:line="276"/>
      </w:pPr>
      <w:r>
        <w:rPr>
          <w:rFonts w:ascii="Times New Roman" w:cs="Times New Roman" w:eastAsia="Times New Roman" w:hAnsi="Times New Roman"/>
          <w:b/>
          <w:bCs/>
        </w:rPr>
        <w:t xml:space="preserve">Fail safe.</w:t>
      </w:r>
      <w:r>
        <w:rPr>
          <w:rFonts w:ascii="Times New Roman" w:cs="Times New Roman" w:eastAsia="Times New Roman" w:hAnsi="Times New Roman"/>
        </w:rPr>
        <w:t xml:space="preserve"> Unknown or unmapped data produces “insufficient data”, never “no risk” (NFR-04).</w:t>
      </w:r>
    </w:p>
    <w:p>
      <w:pPr>
        <w:pStyle w:val="ListParagraph"/>
        <w:numPr>
          <w:ilvl w:val="0"/>
          <w:numId w:val="2"/>
        </w:numPr>
        <w:spacing w:after="60" w:line="276"/>
      </w:pPr>
      <w:r>
        <w:rPr>
          <w:rFonts w:ascii="Times New Roman" w:cs="Times New Roman" w:eastAsia="Times New Roman" w:hAnsi="Times New Roman"/>
          <w:b/>
          <w:bCs/>
        </w:rPr>
        <w:t xml:space="preserve">Human in the loop.</w:t>
      </w:r>
      <w:r>
        <w:rPr>
          <w:rFonts w:ascii="Times New Roman" w:cs="Times New Roman" w:eastAsia="Times New Roman" w:hAnsi="Times New Roman"/>
        </w:rPr>
        <w:t xml:space="preserve"> The doctor confirms extracted entities, decides on alerts and approves the schedule before it reaches the patient (FR-18, NFR-05).</w:t>
      </w:r>
    </w:p>
    <w:p>
      <w:pPr>
        <w:pStyle w:val="ListParagraph"/>
        <w:numPr>
          <w:ilvl w:val="0"/>
          <w:numId w:val="2"/>
        </w:numPr>
        <w:spacing w:after="60" w:line="276"/>
      </w:pPr>
      <w:r>
        <w:rPr>
          <w:rFonts w:ascii="Times New Roman" w:cs="Times New Roman" w:eastAsia="Times New Roman" w:hAnsi="Times New Roman"/>
          <w:b/>
          <w:bCs/>
        </w:rPr>
        <w:t xml:space="preserve">Modular monolith.</w:t>
      </w:r>
      <w:r>
        <w:rPr>
          <w:rFonts w:ascii="Times New Roman" w:cs="Times New Roman" w:eastAsia="Times New Roman" w:hAnsi="Times New Roman"/>
        </w:rPr>
        <w:t xml:space="preserve"> One deployable backend with clear module boundaries, plus asynchronous workers; simple to run, easy to split later.</w:t>
      </w:r>
    </w:p>
    <w:p>
      <w:pPr>
        <w:pStyle w:val="ListParagraph"/>
        <w:numPr>
          <w:ilvl w:val="0"/>
          <w:numId w:val="2"/>
        </w:numPr>
        <w:spacing w:after="60" w:line="276"/>
      </w:pPr>
      <w:r>
        <w:rPr>
          <w:rFonts w:ascii="Times New Roman" w:cs="Times New Roman" w:eastAsia="Times New Roman" w:hAnsi="Times New Roman"/>
          <w:b/>
          <w:bCs/>
        </w:rPr>
        <w:t xml:space="preserve">Privacy by design.</w:t>
      </w:r>
      <w:r>
        <w:rPr>
          <w:rFonts w:ascii="Times New Roman" w:cs="Times New Roman" w:eastAsia="Times New Roman" w:hAnsi="Times New Roman"/>
        </w:rPr>
        <w:t xml:space="preserve"> The Administrator sees only counts, clinics, doctors and pseudonymised journals; patient data and the language model stay inside the clinic deployment (FR-02, NFR-08).</w:t>
      </w:r>
    </w:p>
    <w:p>
      <w:pPr>
        <w:pStyle w:val="Heading2"/>
      </w:pPr>
      <w:r>
        <w:rPr>
          <w:rFonts w:ascii="Times New Roman" w:cs="Times New Roman" w:eastAsia="Times New Roman" w:hAnsi="Times New Roman"/>
        </w:rPr>
        <w:t xml:space="preserve">7.1 System context diagram</w:t>
      </w:r>
    </w:p>
    <w:p>
      <w:pPr>
        <w:spacing w:after="120" w:line="288"/>
        <w:jc w:val="both"/>
      </w:pPr>
      <w:r>
        <w:rPr>
          <w:rFonts w:ascii="Times New Roman" w:cs="Times New Roman" w:eastAsia="Times New Roman" w:hAnsi="Times New Roman"/>
        </w:rPr>
        <w:t xml:space="preserve">Figure 7.1 is drawn in C4-model notation (level 1, system context): people in dark blue, the system in scope in blue, external systems in grey; every relationship states its purpose and technology. MedGuard has three user roles. The Patient creates a profile, writes the own medical history and books an appointment in a free slot. The Doctor, of any specialty, publishes free slots, reviews the history at the appointment, checks the own prescription and approves the intake schedule. The Administrator only views the number of clinics, the doctors of each clinic and the login and event journals, without any personal data. Five external systems are involved: the Telegram Bot API delivers reminders, the pre-visit questionnaire and bot replies to the patient; RxNorm/RxNav is used to normalise drug names (with a local cache); openFDA, DailyMed and DDInter 2.0 are sources of label text and rule-base data that are loaded by the team’s scripts before run time (dashed arrows), so at run time the application reads only its own database. The language model runs locally inside the system boundary.</w:t>
      </w:r>
    </w:p>
    <w:p>
      <w:pPr>
        <w:sectPr>
          <w:footerReference w:type="default" r:id="rId7"/>
          <w:pgSz w:w="11906" w:h="16838" w:orient="portrait"/>
          <w:pgMar w:top="1300" w:right="1440" w:bottom="1300" w:left="1440" w:header="708" w:footer="708" w:gutter="0"/>
          <w:pgNumType/>
          <w:docGrid w:linePitch="360"/>
        </w:sectPr>
      </w:pPr>
    </w:p>
    <w:p>
      <w:pPr>
        <w:keepNext/>
        <w:spacing w:before="120"/>
        <w:jc w:val="center"/>
      </w:pPr>
      <w:r>
        <w:drawing>
          <wp:inline distT="0" distB="0" distL="0" distR="0">
            <wp:extent cx="8572500" cy="5619750"/>
            <wp:effectExtent t="0" r="0" b="0" l="0"/>
            <wp:docPr id="1" name="../diagrams/context-diagram.png" descr="../diagrams/context-diagram.png" title="../diagrams/context-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5619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7.1. System context diagram (editable source: diagrams/context-diagram.drawio)</w:t>
      </w:r>
    </w:p>
    <w:p>
      <w:pPr>
        <w:sectPr>
          <w:footerReference w:type="default" r:id="rId8"/>
          <w:pgSz w:w="16838" w:h="11906" w:orient="landscape"/>
          <w:pgMar w:top="800" w:right="860" w:bottom="800" w:left="860" w:header="708" w:footer="708" w:gutter="0"/>
          <w:pgNumType/>
          <w:docGrid w:linePitch="360"/>
        </w:sectPr>
      </w:pPr>
    </w:p>
    <w:p>
      <w:pPr>
        <w:pStyle w:val="Heading2"/>
      </w:pPr>
      <w:r>
        <w:rPr>
          <w:rFonts w:ascii="Times New Roman" w:cs="Times New Roman" w:eastAsia="Times New Roman" w:hAnsi="Times New Roman"/>
        </w:rPr>
        <w:t xml:space="preserve">7.3 Component diagram (draft)</w:t>
      </w:r>
    </w:p>
    <w:p>
      <w:pPr>
        <w:spacing w:after="120" w:line="288"/>
        <w:jc w:val="both"/>
      </w:pPr>
      <w:r>
        <w:rPr>
          <w:rFonts w:ascii="Times New Roman" w:cs="Times New Roman" w:eastAsia="Times New Roman" w:hAnsi="Times New Roman"/>
        </w:rPr>
        <w:t xml:space="preserve">Figure 7.3 uses C4-model notation (level 3, components): containers are dark blue, components light blue, data stores are cylinders and external systems grey; dashed frames mark boundaries. Three web front ends (Patient Web Interface, Doctor Workspace and a read-only Administrator Dashboard) call one API Application. Its components serve the three roles: Profile &amp; History, Scheduling &amp; Booking and Visit &amp; Prescription for patients and doctors; Clinic Directory and Usage &amp; Log Reader for the Administrator, returning only counts, clinics, doctors and pseudonymised journals (FR-02, FR-39 to FR-42). The Drug Safety Engine checks a proposed medicine for interactions, allergy, contraindication, duplicate therapy and dose range (FR-22 to FR-26) after the Medication Normalizer has mapped brand and generic names to active ingredients (FR-19). The AI Service runs the NLP parser, the explanation generator with evidence support check and the evidence retriever on a local model. Background workers send reminders and run the Telegram bot. The Audit Logger records sign-ins, record openings, checks, accepted risks, bookings, cancellations and profile changes (FR-45). Offline data preparation scripts (synthetic data generator, rule-base importer, label ingestion) run before deployment and are not part of the running application.</w:t>
      </w:r>
    </w:p>
    <w:p>
      <w:pPr>
        <w:sectPr>
          <w:footerReference w:type="default" r:id="rId9"/>
          <w:pgSz w:w="11906" w:h="16838" w:orient="portrait"/>
          <w:pgMar w:top="1300" w:right="1440" w:bottom="1300" w:left="1440" w:header="708" w:footer="708" w:gutter="0"/>
          <w:pgNumType/>
          <w:docGrid w:linePitch="360"/>
        </w:sectPr>
      </w:pPr>
    </w:p>
    <w:p>
      <w:pPr>
        <w:keepNext/>
        <w:spacing w:before="120"/>
        <w:jc w:val="center"/>
      </w:pPr>
      <w:r>
        <w:drawing>
          <wp:inline distT="0" distB="0" distL="0" distR="0">
            <wp:extent cx="6572250" cy="6238875"/>
            <wp:effectExtent t="0" r="0" b="0" l="0"/>
            <wp:docPr id="1" name="../diagrams/component-diagram.png" descr="../diagrams/component-diagram.png" title="../diagrams/component-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62388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7.3. Component diagram, draft (editable source: diagrams/component-diagram.drawio)</w:t>
      </w:r>
    </w:p>
    <w:p>
      <w:pPr>
        <w:sectPr>
          <w:footerReference w:type="default" r:id="rId10"/>
          <w:pgSz w:w="11906" w:h="16838" w:orient="portrait"/>
          <w:pgMar w:top="800" w:right="720" w:bottom="800" w:left="720" w:header="708" w:footer="708" w:gutter="0"/>
          <w:pgNumType/>
          <w:docGrid w:linePitch="360"/>
        </w:sectPr>
      </w:pPr>
    </w:p>
    <w:p>
      <w:pPr>
        <w:pStyle w:val="Heading3"/>
      </w:pPr>
      <w:r>
        <w:rPr>
          <w:rFonts w:ascii="Times New Roman" w:cs="Times New Roman" w:eastAsia="Times New Roman" w:hAnsi="Times New Roman"/>
        </w:rPr>
        <w:t xml:space="preserve">Main processing pipeline across components</w:t>
      </w:r>
    </w:p>
    <w:p>
      <w:pPr>
        <w:pStyle w:val="ListParagraph"/>
        <w:numPr>
          <w:ilvl w:val="0"/>
          <w:numId w:val="3"/>
        </w:numPr>
        <w:spacing w:after="60" w:line="276"/>
      </w:pPr>
      <w:r>
        <w:rPr>
          <w:rFonts w:ascii="Times New Roman" w:cs="Times New Roman" w:eastAsia="Times New Roman" w:hAnsi="Times New Roman"/>
          <w:b/>
          <w:bCs/>
        </w:rPr>
        <w:t xml:space="preserve">Collect.</w:t>
      </w:r>
      <w:r>
        <w:rPr>
          <w:rFonts w:ascii="Times New Roman" w:cs="Times New Roman" w:eastAsia="Times New Roman" w:hAnsi="Times New Roman"/>
        </w:rPr>
        <w:t xml:space="preserve"> Load the patient profile and history (patient-reported and doctor-confirmed entries) and the free-text visit note.</w:t>
      </w:r>
    </w:p>
    <w:p>
      <w:pPr>
        <w:pStyle w:val="ListParagraph"/>
        <w:numPr>
          <w:ilvl w:val="0"/>
          <w:numId w:val="3"/>
        </w:numPr>
        <w:spacing w:after="60" w:line="276"/>
      </w:pPr>
      <w:r>
        <w:rPr>
          <w:rFonts w:ascii="Times New Roman" w:cs="Times New Roman" w:eastAsia="Times New Roman" w:hAnsi="Times New Roman"/>
          <w:b/>
          <w:bCs/>
        </w:rPr>
        <w:t xml:space="preserve">Extract.</w:t>
      </w:r>
      <w:r>
        <w:rPr>
          <w:rFonts w:ascii="Times New Roman" w:cs="Times New Roman" w:eastAsia="Times New Roman" w:hAnsi="Times New Roman"/>
        </w:rPr>
        <w:t xml:space="preserve"> The NLP parser returns entities in a JSON schema; the doctor confirms them (UC-14).</w:t>
      </w:r>
    </w:p>
    <w:p>
      <w:pPr>
        <w:pStyle w:val="ListParagraph"/>
        <w:numPr>
          <w:ilvl w:val="0"/>
          <w:numId w:val="3"/>
        </w:numPr>
        <w:spacing w:after="60" w:line="276"/>
      </w:pPr>
      <w:r>
        <w:rPr>
          <w:rFonts w:ascii="Times New Roman" w:cs="Times New Roman" w:eastAsia="Times New Roman" w:hAnsi="Times New Roman"/>
          <w:b/>
          <w:bCs/>
        </w:rPr>
        <w:t xml:space="preserve">Normalise.</w:t>
      </w:r>
      <w:r>
        <w:rPr>
          <w:rFonts w:ascii="Times New Roman" w:cs="Times New Roman" w:eastAsia="Times New Roman" w:hAnsi="Times New Roman"/>
        </w:rPr>
        <w:t xml:space="preserve"> Medication names → RxNorm concept → ingredient RxCUI(s) → classes (RxClass); conditions keep ICD-10 codes (FR-08); allergies are mapped to ingredient or class.</w:t>
      </w:r>
    </w:p>
    <w:p>
      <w:pPr>
        <w:pStyle w:val="ListParagraph"/>
        <w:numPr>
          <w:ilvl w:val="0"/>
          <w:numId w:val="3"/>
        </w:numPr>
        <w:spacing w:after="60" w:line="276"/>
      </w:pPr>
      <w:r>
        <w:rPr>
          <w:rFonts w:ascii="Times New Roman" w:cs="Times New Roman" w:eastAsia="Times New Roman" w:hAnsi="Times New Roman"/>
          <w:b/>
          <w:bCs/>
        </w:rPr>
        <w:t xml:space="preserve">Check.</w:t>
      </w:r>
      <w:r>
        <w:rPr>
          <w:rFonts w:ascii="Times New Roman" w:cs="Times New Roman" w:eastAsia="Times New Roman" w:hAnsi="Times New Roman"/>
        </w:rPr>
        <w:t xml:space="preserve"> The Drug Safety Engine evaluates the proposed drug against every confirmed drug, allergy and condition using the rule base (interaction, allergy, contraindication, duplication, dose range) and assigns a level (UC-16).</w:t>
      </w:r>
    </w:p>
    <w:p>
      <w:pPr>
        <w:pStyle w:val="ListParagraph"/>
        <w:numPr>
          <w:ilvl w:val="0"/>
          <w:numId w:val="3"/>
        </w:numPr>
        <w:spacing w:after="60" w:line="276"/>
      </w:pPr>
      <w:r>
        <w:rPr>
          <w:rFonts w:ascii="Times New Roman" w:cs="Times New Roman" w:eastAsia="Times New Roman" w:hAnsi="Times New Roman"/>
          <w:b/>
          <w:bCs/>
        </w:rPr>
        <w:t xml:space="preserve">Retrieve.</w:t>
      </w:r>
      <w:r>
        <w:rPr>
          <w:rFonts w:ascii="Times New Roman" w:cs="Times New Roman" w:eastAsia="Times New Roman" w:hAnsi="Times New Roman"/>
        </w:rPr>
        <w:t xml:space="preserve"> For each alert, the RAG module retrieves the matching label passage (filtered by drug and section, ranked by hybrid search).</w:t>
      </w:r>
    </w:p>
    <w:p>
      <w:pPr>
        <w:pStyle w:val="ListParagraph"/>
        <w:numPr>
          <w:ilvl w:val="0"/>
          <w:numId w:val="3"/>
        </w:numPr>
        <w:spacing w:after="60" w:line="276"/>
      </w:pPr>
      <w:r>
        <w:rPr>
          <w:rFonts w:ascii="Times New Roman" w:cs="Times New Roman" w:eastAsia="Times New Roman" w:hAnsi="Times New Roman"/>
          <w:b/>
          <w:bCs/>
        </w:rPr>
        <w:t xml:space="preserve">Explain.</w:t>
      </w:r>
      <w:r>
        <w:rPr>
          <w:rFonts w:ascii="Times New Roman" w:cs="Times New Roman" w:eastAsia="Times New Roman" w:hAnsi="Times New Roman"/>
        </w:rPr>
        <w:t xml:space="preserve"> The LLM writes a 1–3 sentence explanation using only the alert and the passage; an automatic check verifies that each statement is supported, otherwise the explanation is replaced by the raw rule text.</w:t>
      </w:r>
    </w:p>
    <w:p>
      <w:pPr>
        <w:pStyle w:val="ListParagraph"/>
        <w:numPr>
          <w:ilvl w:val="0"/>
          <w:numId w:val="3"/>
        </w:numPr>
        <w:spacing w:after="60" w:line="276"/>
      </w:pPr>
      <w:r>
        <w:rPr>
          <w:rFonts w:ascii="Times New Roman" w:cs="Times New Roman" w:eastAsia="Times New Roman" w:hAnsi="Times New Roman"/>
          <w:b/>
          <w:bCs/>
        </w:rPr>
        <w:t xml:space="preserve">Decide.</w:t>
      </w:r>
      <w:r>
        <w:rPr>
          <w:rFonts w:ascii="Times New Roman" w:cs="Times New Roman" w:eastAsia="Times New Roman" w:hAnsi="Times New Roman"/>
        </w:rPr>
        <w:t xml:space="preserve"> The doctor accepts a risk with a mandatory comment or chooses an alternative (UC-18, UC-19); everything is logged.</w:t>
      </w:r>
    </w:p>
    <w:p>
      <w:pPr>
        <w:pStyle w:val="ListParagraph"/>
        <w:numPr>
          <w:ilvl w:val="0"/>
          <w:numId w:val="3"/>
        </w:numPr>
        <w:spacing w:after="60" w:line="276"/>
      </w:pPr>
      <w:r>
        <w:rPr>
          <w:rFonts w:ascii="Times New Roman" w:cs="Times New Roman" w:eastAsia="Times New Roman" w:hAnsi="Times New Roman"/>
          <w:b/>
          <w:bCs/>
        </w:rPr>
        <w:t xml:space="preserve">Schedule.</w:t>
      </w:r>
      <w:r>
        <w:rPr>
          <w:rFonts w:ascii="Times New Roman" w:cs="Times New Roman" w:eastAsia="Times New Roman" w:hAnsi="Times New Roman"/>
        </w:rPr>
        <w:t xml:space="preserve"> The approved regimen is converted into dose times using the patient’s routine and constraints; the final regimen is re-checked; reminders are sent through Telegram (UC-20, UC-07).</w:t>
      </w:r>
    </w:p>
    <w:sectPr>
      <w:footerReference w:type="default" r:id="rId11"/>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80" w:before="180"/>
      <w:outlineLvl w:val="2"/>
    </w:pPr>
    <w:rPr>
      <w:rFonts w:ascii="Times New Roman" w:cs="Times New Roman" w:eastAsia="Times New Roman" w:hAnsi="Times New Roman"/>
      <w:b/>
      <w:bCs/>
      <w:i/>
      <w:iCs/>
      <w:sz w:val="24"/>
      <w:szCs w:val="24"/>
    </w:rPr>
  </w:style>
  <w:style w:type="character" w:styleId="Hyperlink">
    <w:name w:val="Hyperlink"/>
    <w:basedOn w:val="DefaultParagraphFont"/>
    <w:uiPriority w:val="99"/>
    <w:unhideWhenUsed/>
    <w:rPr>
      <w:color w:val="00000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129e4efe165a047a0c3d22aad63ca49e45fa1e3c.png"/><Relationship Id="rId13" Type="http://schemas.openxmlformats.org/officeDocument/2006/relationships/image" Target="media/40783dde7030d4377feb7dd05edd690ecbc09ef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2026-10-23T05:33:56.346Z</dcterms:created>
  <dcterms:modified xsi:type="dcterms:W3CDTF">2026-10-23T05:33:56.346Z</dcterms:modified>
</cp:coreProperties>
</file>

<file path=docProps/custom.xml><?xml version="1.0" encoding="utf-8"?>
<Properties xmlns="http://schemas.openxmlformats.org/officeDocument/2006/custom-properties" xmlns:vt="http://schemas.openxmlformats.org/officeDocument/2006/docPropsVTypes"/>
</file>