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B1E3A"/>
          <w:sz w:val="18"/>
        </w:rPr>
        <w:t>DIPLOMA PROJECT · FIRST SUBMISSION · ITEM 2</w:t>
      </w:r>
    </w:p>
    <w:p>
      <w:pPr>
        <w:spacing w:after="80"/>
      </w:pPr>
      <w:r>
        <w:rPr>
          <w:b/>
          <w:color w:val="1B2236"/>
          <w:sz w:val="48"/>
        </w:rPr>
        <w:t>Evidence of Relevance</w:t>
      </w:r>
    </w:p>
    <w:p>
      <w:pPr>
        <w:spacing w:after="160"/>
      </w:pPr>
      <w:r>
        <w:rPr>
          <w:color w:val="4A4650"/>
          <w:sz w:val="23"/>
        </w:rPr>
        <w:t>Development of an Intelligent System for Medication Safety Assessment Based on Patient Medical History</w:t>
      </w:r>
    </w:p>
    <w:tbl>
      <w:tblPr>
        <w:tblW w:type="auto" w:w="0"/>
        <w:jc w:val="left"/>
        <w:tblLayout w:type="fixed"/>
        <w:tblLook w:firstColumn="1" w:firstRow="1" w:lastColumn="0" w:lastRow="0" w:noHBand="0" w:noVBand="1" w:val="04A0"/>
        <w:tblLayout w:type="fixed"/>
      </w:tblPr>
      <w:tblGrid>
        <w:gridCol w:w="2154"/>
        <w:gridCol w:w="7483"/>
      </w:tblGrid>
      <w:tr>
        <w:tc>
          <w:tcPr>
            <w:tcW w:type="dxa" w:w="2154"/>
          </w:tcPr>
          <w:p>
            <w:pPr>
              <w:spacing w:after="20"/>
            </w:pPr>
            <w:r>
              <w:rPr>
                <w:b/>
                <w:sz w:val="19"/>
              </w:rPr>
              <w:t>Working name</w:t>
            </w:r>
          </w:p>
        </w:tc>
        <w:tc>
          <w:tcPr>
            <w:tcW w:type="dxa" w:w="7483"/>
          </w:tcPr>
          <w:p>
            <w:pPr>
              <w:spacing w:after="20"/>
            </w:pPr>
            <w:r>
              <w:rPr>
                <w:sz w:val="19"/>
              </w:rPr>
              <w:t>MedGuard (earlier working name: MedSafe)</w:t>
            </w:r>
          </w:p>
        </w:tc>
      </w:tr>
      <w:tr>
        <w:tc>
          <w:tcPr>
            <w:tcW w:type="dxa" w:w="2154"/>
          </w:tcPr>
          <w:p>
            <w:pPr>
              <w:spacing w:after="20"/>
            </w:pPr>
            <w:r>
              <w:rPr>
                <w:b/>
                <w:sz w:val="19"/>
              </w:rPr>
              <w:t>Programme</w:t>
            </w:r>
          </w:p>
        </w:tc>
        <w:tc>
          <w:tcPr>
            <w:tcW w:type="dxa" w:w="7483"/>
          </w:tcPr>
          <w:p>
            <w:pPr>
              <w:spacing w:after="20"/>
            </w:pPr>
            <w:r>
              <w:rPr>
                <w:sz w:val="19"/>
              </w:rPr>
              <w:t>Software Engineering, Astana IT University</w:t>
            </w:r>
          </w:p>
        </w:tc>
      </w:tr>
      <w:tr>
        <w:tc>
          <w:tcPr>
            <w:tcW w:type="dxa" w:w="2154"/>
          </w:tcPr>
          <w:p>
            <w:pPr>
              <w:spacing w:after="20"/>
            </w:pPr>
            <w:r>
              <w:rPr>
                <w:b/>
                <w:sz w:val="19"/>
              </w:rPr>
              <w:t>Section owner</w:t>
            </w:r>
          </w:p>
        </w:tc>
        <w:tc>
          <w:tcPr>
            <w:tcW w:type="dxa" w:w="7483"/>
          </w:tcPr>
          <w:p>
            <w:pPr>
              <w:spacing w:after="20"/>
            </w:pPr>
            <w:r>
              <w:rPr>
                <w:sz w:val="19"/>
              </w:rPr>
              <w:t>Salemkan Aknur Seitkankyzy (SE-2414), Business Analyst</w:t>
            </w:r>
          </w:p>
        </w:tc>
      </w:tr>
      <w:tr>
        <w:tc>
          <w:tcPr>
            <w:tcW w:type="dxa" w:w="2154"/>
          </w:tcPr>
          <w:p>
            <w:pPr>
              <w:spacing w:after="20"/>
            </w:pPr>
            <w:r>
              <w:rPr>
                <w:b/>
                <w:sz w:val="19"/>
              </w:rPr>
              <w:t>Team</w:t>
            </w:r>
          </w:p>
        </w:tc>
        <w:tc>
          <w:tcPr>
            <w:tcW w:type="dxa" w:w="7483"/>
          </w:tcPr>
          <w:p>
            <w:pPr>
              <w:spacing w:after="20"/>
            </w:pPr>
            <w:r>
              <w:rPr>
                <w:sz w:val="19"/>
              </w:rPr>
              <w:t>Yertay Altynay (SE-2416), Nuraly Nuray (SE-2416)</w:t>
            </w:r>
          </w:p>
        </w:tc>
      </w:tr>
      <w:tr>
        <w:tc>
          <w:tcPr>
            <w:tcW w:type="dxa" w:w="2154"/>
          </w:tcPr>
          <w:p>
            <w:pPr>
              <w:spacing w:after="20"/>
            </w:pPr>
            <w:r>
              <w:rPr>
                <w:b/>
                <w:sz w:val="19"/>
              </w:rPr>
              <w:t>Supervisor</w:t>
            </w:r>
          </w:p>
        </w:tc>
        <w:tc>
          <w:tcPr>
            <w:tcW w:type="dxa" w:w="7483"/>
          </w:tcPr>
          <w:p>
            <w:pPr>
              <w:spacing w:after="20"/>
            </w:pPr>
            <w:r>
              <w:rPr>
                <w:sz w:val="19"/>
              </w:rPr>
              <w:t>Orazova Arailym Zhanbolatkyzy</w:t>
            </w:r>
          </w:p>
        </w:tc>
      </w:tr>
      <w:tr>
        <w:tc>
          <w:tcPr>
            <w:tcW w:type="dxa" w:w="2154"/>
          </w:tcPr>
          <w:p>
            <w:pPr>
              <w:spacing w:after="20"/>
            </w:pPr>
            <w:r>
              <w:rPr>
                <w:b/>
                <w:sz w:val="19"/>
              </w:rPr>
              <w:t>Version</w:t>
            </w:r>
          </w:p>
        </w:tc>
        <w:tc>
          <w:tcPr>
            <w:tcW w:type="dxa" w:w="7483"/>
          </w:tcPr>
          <w:p>
            <w:pPr>
              <w:spacing w:after="20"/>
            </w:pPr>
            <w:r>
              <w:rPr>
                <w:sz w:val="19"/>
              </w:rPr>
              <w:t>v1.0, October 2026</w:t>
            </w:r>
          </w:p>
        </w:tc>
      </w:tr>
    </w:tbl>
    <w:p>
      <w:pPr>
        <w:spacing w:after="80"/>
        <w:pBdr>
          <w:bottom w:val="single" w:sz="8" w:space="1" w:color="6B1E3A"/>
        </w:pBdr>
      </w:pPr>
    </w:p>
    <w:p>
      <w:pPr>
        <w:pStyle w:val="Heading1"/>
      </w:pPr>
      <w:r>
        <w:t>2. Evidence of Relevance</w:t>
      </w:r>
    </w:p>
    <w:p>
      <w:r>
        <w:rPr>
          <w:b w:val="0"/>
          <w:i w:val="0"/>
        </w:rPr>
        <w:t xml:space="preserve">The need for MedGuard is supported by two kinds of evidence. </w:t>
      </w:r>
      <w:r>
        <w:rPr>
          <w:b/>
          <w:i w:val="0"/>
        </w:rPr>
        <w:t>Secondary evidence</w:t>
      </w:r>
      <w:r>
        <w:rPr>
          <w:b w:val="0"/>
          <w:i w:val="0"/>
        </w:rPr>
        <w:t xml:space="preserve"> (published studies and official data) is collected and verified in Section 2.1. </w:t>
      </w:r>
      <w:r>
        <w:rPr>
          <w:b/>
          <w:i w:val="0"/>
        </w:rPr>
        <w:t>Primary evidence</w:t>
      </w:r>
      <w:r>
        <w:rPr>
          <w:b w:val="0"/>
          <w:i w:val="0"/>
        </w:rPr>
        <w:t xml:space="preserve"> comes from interviews with potential users. One structured interview with a practising physician has been completed (Section 2.2), and its results are recorded below. Each statement that drives a requirement is marked either as verified from published sources, as supported by the interview, or as an assumption that still has to be checked.</w:t>
      </w:r>
    </w:p>
    <w:tbl>
      <w:tblPr>
        <w:tblW w:type="auto" w:w="0"/>
        <w:jc w:val="center"/>
        <w:tblLook w:firstColumn="1" w:firstRow="1" w:lastColumn="0" w:lastRow="0" w:noHBand="0" w:noVBand="1" w:val="04A0"/>
        <w:tblCellMar>
          <w:top w:w="100" w:type="dxa"/>
          <w:left w:w="160" w:type="dxa"/>
          <w:bottom w:w="100" w:type="dxa"/>
          <w:right w:w="160" w:type="dxa"/>
        </w:tblCellMar>
      </w:tblPr>
      <w:tblGrid>
        <w:gridCol w:w="9638"/>
      </w:tblGrid>
      <w:tr>
        <w:tc>
          <w:tcPr>
            <w:tcW w:type="dxa" w:w="9638"/>
            <w:shd w:val="clear" w:color="auto" w:fill="F4E8EC"/>
          </w:tcPr>
          <w:p>
            <w:pPr>
              <w:spacing w:after="0"/>
            </w:pPr>
            <w:r>
              <w:rPr>
                <w:b/>
                <w:i w:val="0"/>
                <w:sz w:val="20"/>
              </w:rPr>
              <w:t>Status of primary evidence.</w:t>
            </w:r>
            <w:r>
              <w:rPr>
                <w:b w:val="0"/>
                <w:i w:val="0"/>
                <w:sz w:val="20"/>
              </w:rPr>
              <w:t xml:space="preserve"> 1 of the 3 to 5 planned discussions is completed (P1, physician). The remaining discussions (a second physician of another specialty, a clinical pharmacist, and two patient-side conversations with students or staff) are planned and are listed in Section 2.5. Findings from a single interview are reported as "supported by P1", not as generally verified.</w:t>
            </w:r>
          </w:p>
        </w:tc>
      </w:tr>
    </w:tbl>
    <w:p>
      <w:pPr>
        <w:spacing w:after="40"/>
      </w:pPr>
    </w:p>
    <w:p>
      <w:pPr>
        <w:pStyle w:val="Heading2"/>
      </w:pPr>
      <w:r>
        <w:t>2.1 Secondary evidence (verified)</w:t>
      </w:r>
    </w:p>
    <w:p>
      <w:pPr>
        <w:keepNext/>
        <w:spacing w:before="160" w:after="60"/>
      </w:pPr>
      <w:r>
        <w:rPr>
          <w:i/>
          <w:color w:val="4A4650"/>
          <w:sz w:val="19"/>
        </w:rPr>
        <w:t>Table 2.1. Verified findings from published sources</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4876"/>
        <w:gridCol w:w="1928"/>
        <w:gridCol w:w="2835"/>
      </w:tblGrid>
      <w:tr>
        <w:trPr>
          <w:tblHeader w:val="true"/>
        </w:trPr>
        <w:tc>
          <w:tcPr>
            <w:tcW w:type="dxa" w:w="4876"/>
            <w:shd w:val="clear" w:color="auto" w:fill="6B1E3A"/>
          </w:tcPr>
          <w:p>
            <w:pPr>
              <w:spacing w:after="0"/>
            </w:pPr>
            <w:r>
              <w:rPr>
                <w:b/>
                <w:color w:val="FFFFFF"/>
                <w:sz w:val="17"/>
              </w:rPr>
              <w:t>Finding</w:t>
            </w:r>
          </w:p>
        </w:tc>
        <w:tc>
          <w:tcPr>
            <w:tcW w:type="dxa" w:w="1928"/>
            <w:shd w:val="clear" w:color="auto" w:fill="6B1E3A"/>
          </w:tcPr>
          <w:p>
            <w:pPr>
              <w:spacing w:after="0"/>
            </w:pPr>
            <w:r>
              <w:rPr>
                <w:b/>
                <w:color w:val="FFFFFF"/>
                <w:sz w:val="17"/>
              </w:rPr>
              <w:t>Source</w:t>
            </w:r>
          </w:p>
        </w:tc>
        <w:tc>
          <w:tcPr>
            <w:tcW w:type="dxa" w:w="2835"/>
            <w:shd w:val="clear" w:color="auto" w:fill="6B1E3A"/>
          </w:tcPr>
          <w:p>
            <w:pPr>
              <w:spacing w:after="0"/>
            </w:pPr>
            <w:r>
              <w:rPr>
                <w:b/>
                <w:color w:val="FFFFFF"/>
                <w:sz w:val="17"/>
              </w:rPr>
              <w:t>Implication for MedGuard</w:t>
            </w:r>
          </w:p>
        </w:tc>
      </w:tr>
      <w:tr>
        <w:trPr>
          <w:cantSplit w:val="true"/>
        </w:trPr>
        <w:tc>
          <w:tcPr>
            <w:tcW w:type="dxa" w:w="4876"/>
          </w:tcPr>
          <w:p>
            <w:pPr>
              <w:spacing w:after="30" w:line="252" w:lineRule="auto"/>
            </w:pPr>
            <w:r>
              <w:rPr>
                <w:b w:val="0"/>
                <w:i w:val="0"/>
                <w:sz w:val="17"/>
              </w:rPr>
              <w:t>Medication errors cost about USD 42 billion per year worldwide; WHO targets a 50 % reduction of severe avoidable medication-related harm.</w:t>
            </w:r>
          </w:p>
        </w:tc>
        <w:tc>
          <w:tcPr>
            <w:tcW w:type="dxa" w:w="1928"/>
          </w:tcPr>
          <w:p>
            <w:pPr>
              <w:spacing w:after="30" w:line="252" w:lineRule="auto"/>
            </w:pPr>
            <w:r>
              <w:rPr>
                <w:b w:val="0"/>
                <w:i w:val="0"/>
                <w:sz w:val="17"/>
              </w:rPr>
              <w:t>WHO 2017</w:t>
            </w:r>
          </w:p>
        </w:tc>
        <w:tc>
          <w:tcPr>
            <w:tcW w:type="dxa" w:w="2835"/>
          </w:tcPr>
          <w:p>
            <w:pPr>
              <w:spacing w:after="30" w:line="252" w:lineRule="auto"/>
            </w:pPr>
            <w:r>
              <w:rPr>
                <w:b w:val="0"/>
                <w:i w:val="0"/>
                <w:sz w:val="17"/>
              </w:rPr>
              <w:t>High societal relevance of medication-safety tools.</w:t>
            </w:r>
          </w:p>
        </w:tc>
      </w:tr>
      <w:tr>
        <w:trPr>
          <w:cantSplit w:val="true"/>
        </w:trPr>
        <w:tc>
          <w:tcPr>
            <w:tcW w:type="dxa" w:w="4876"/>
            <w:shd w:val="clear" w:color="auto" w:fill="F4F1F2"/>
          </w:tcPr>
          <w:p>
            <w:pPr>
              <w:spacing w:after="30" w:line="252" w:lineRule="auto"/>
            </w:pPr>
            <w:r>
              <w:rPr>
                <w:b w:val="0"/>
                <w:i w:val="0"/>
                <w:sz w:val="17"/>
              </w:rPr>
              <w:t>Preventable medication harm affects roughly 1 patient in 30; a large share is severe, and prescribing and monitoring are the most frequent stages.</w:t>
            </w:r>
          </w:p>
        </w:tc>
        <w:tc>
          <w:tcPr>
            <w:tcW w:type="dxa" w:w="1928"/>
            <w:shd w:val="clear" w:color="auto" w:fill="F4F1F2"/>
          </w:tcPr>
          <w:p>
            <w:pPr>
              <w:spacing w:after="30" w:line="252" w:lineRule="auto"/>
            </w:pPr>
            <w:r>
              <w:rPr>
                <w:b w:val="0"/>
                <w:i w:val="0"/>
                <w:sz w:val="17"/>
              </w:rPr>
              <w:t>Hodkinson 2020</w:t>
            </w:r>
          </w:p>
        </w:tc>
        <w:tc>
          <w:tcPr>
            <w:tcW w:type="dxa" w:w="2835"/>
            <w:shd w:val="clear" w:color="auto" w:fill="F4F1F2"/>
          </w:tcPr>
          <w:p>
            <w:pPr>
              <w:spacing w:after="30" w:line="252" w:lineRule="auto"/>
            </w:pPr>
            <w:r>
              <w:rPr>
                <w:b w:val="0"/>
                <w:i w:val="0"/>
                <w:sz w:val="17"/>
              </w:rPr>
              <w:t>The check is placed at the moment of prescribing.</w:t>
            </w:r>
          </w:p>
        </w:tc>
      </w:tr>
      <w:tr>
        <w:trPr>
          <w:cantSplit w:val="true"/>
        </w:trPr>
        <w:tc>
          <w:tcPr>
            <w:tcW w:type="dxa" w:w="4876"/>
          </w:tcPr>
          <w:p>
            <w:pPr>
              <w:spacing w:after="30" w:line="252" w:lineRule="auto"/>
            </w:pPr>
            <w:r>
              <w:rPr>
                <w:b w:val="0"/>
                <w:i w:val="0"/>
                <w:sz w:val="17"/>
              </w:rPr>
              <w:t>A record review of 2,809 admissions in 11 hospitals found an adverse event in 23.6 % of admissions; adverse drug events were the most common type (39 %).</w:t>
            </w:r>
          </w:p>
        </w:tc>
        <w:tc>
          <w:tcPr>
            <w:tcW w:type="dxa" w:w="1928"/>
          </w:tcPr>
          <w:p>
            <w:pPr>
              <w:spacing w:after="30" w:line="252" w:lineRule="auto"/>
            </w:pPr>
            <w:r>
              <w:rPr>
                <w:b w:val="0"/>
                <w:i w:val="0"/>
                <w:sz w:val="17"/>
              </w:rPr>
              <w:t>Bates 2023</w:t>
            </w:r>
          </w:p>
        </w:tc>
        <w:tc>
          <w:tcPr>
            <w:tcW w:type="dxa" w:w="2835"/>
          </w:tcPr>
          <w:p>
            <w:pPr>
              <w:spacing w:after="30" w:line="252" w:lineRule="auto"/>
            </w:pPr>
            <w:r>
              <w:rPr>
                <w:b w:val="0"/>
                <w:i w:val="0"/>
                <w:sz w:val="17"/>
              </w:rPr>
              <w:t>Drug events remain frequent despite existing electronic alerts.</w:t>
            </w:r>
          </w:p>
        </w:tc>
      </w:tr>
      <w:tr>
        <w:trPr>
          <w:cantSplit w:val="true"/>
        </w:trPr>
        <w:tc>
          <w:tcPr>
            <w:tcW w:type="dxa" w:w="4876"/>
            <w:shd w:val="clear" w:color="auto" w:fill="F4F1F2"/>
          </w:tcPr>
          <w:p>
            <w:pPr>
              <w:spacing w:after="30" w:line="252" w:lineRule="auto"/>
            </w:pPr>
            <w:r>
              <w:rPr>
                <w:b w:val="0"/>
                <w:i w:val="0"/>
                <w:sz w:val="17"/>
              </w:rPr>
              <w:t>Clinicians override 46 to 96 % of drug-safety alerts; many alerts are low value and cause alert fatigue.</w:t>
            </w:r>
          </w:p>
        </w:tc>
        <w:tc>
          <w:tcPr>
            <w:tcW w:type="dxa" w:w="1928"/>
            <w:shd w:val="clear" w:color="auto" w:fill="F4F1F2"/>
          </w:tcPr>
          <w:p>
            <w:pPr>
              <w:spacing w:after="30" w:line="252" w:lineRule="auto"/>
            </w:pPr>
            <w:r>
              <w:rPr>
                <w:b w:val="0"/>
                <w:i w:val="0"/>
                <w:sz w:val="17"/>
              </w:rPr>
              <w:t>van der Sijs 2006; Poly 2020; Villa Zapata 2022</w:t>
            </w:r>
          </w:p>
        </w:tc>
        <w:tc>
          <w:tcPr>
            <w:tcW w:type="dxa" w:w="2835"/>
            <w:shd w:val="clear" w:color="auto" w:fill="F4F1F2"/>
          </w:tcPr>
          <w:p>
            <w:pPr>
              <w:spacing w:after="30" w:line="252" w:lineRule="auto"/>
            </w:pPr>
            <w:r>
              <w:rPr>
                <w:b w:val="0"/>
                <w:i w:val="0"/>
                <w:sz w:val="17"/>
              </w:rPr>
              <w:t>Three severity levels, few relevant alerts, a reason for each alert.</w:t>
            </w:r>
          </w:p>
        </w:tc>
      </w:tr>
      <w:tr>
        <w:trPr>
          <w:cantSplit w:val="true"/>
        </w:trPr>
        <w:tc>
          <w:tcPr>
            <w:tcW w:type="dxa" w:w="4876"/>
          </w:tcPr>
          <w:p>
            <w:pPr>
              <w:spacing w:after="30" w:line="252" w:lineRule="auto"/>
            </w:pPr>
            <w:r>
              <w:rPr>
                <w:b w:val="0"/>
                <w:i w:val="0"/>
                <w:sz w:val="17"/>
              </w:rPr>
              <w:t>Drug-interaction knowledge bases disagree strongly: only 10.7 to 18.3 % of interacting pairs overlap between three major resources.</w:t>
            </w:r>
          </w:p>
        </w:tc>
        <w:tc>
          <w:tcPr>
            <w:tcW w:type="dxa" w:w="1928"/>
          </w:tcPr>
          <w:p>
            <w:pPr>
              <w:spacing w:after="30" w:line="252" w:lineRule="auto"/>
            </w:pPr>
            <w:r>
              <w:rPr>
                <w:b w:val="0"/>
                <w:i w:val="0"/>
                <w:sz w:val="17"/>
              </w:rPr>
              <w:t>Fung 2017; Kontsioti 2022</w:t>
            </w:r>
          </w:p>
        </w:tc>
        <w:tc>
          <w:tcPr>
            <w:tcW w:type="dxa" w:w="2835"/>
          </w:tcPr>
          <w:p>
            <w:pPr>
              <w:spacing w:after="30" w:line="252" w:lineRule="auto"/>
            </w:pPr>
            <w:r>
              <w:rPr>
                <w:b w:val="0"/>
                <w:i w:val="0"/>
                <w:sz w:val="17"/>
              </w:rPr>
              <w:t>The rule base is versioned and every rule shows its source.</w:t>
            </w:r>
          </w:p>
        </w:tc>
      </w:tr>
      <w:tr>
        <w:trPr>
          <w:cantSplit w:val="true"/>
        </w:trPr>
        <w:tc>
          <w:tcPr>
            <w:tcW w:type="dxa" w:w="4876"/>
            <w:shd w:val="clear" w:color="auto" w:fill="F4F1F2"/>
          </w:tcPr>
          <w:p>
            <w:pPr>
              <w:spacing w:after="30" w:line="252" w:lineRule="auto"/>
            </w:pPr>
            <w:r>
              <w:rPr>
                <w:b w:val="0"/>
                <w:i w:val="0"/>
                <w:sz w:val="17"/>
              </w:rPr>
              <w:t>General-purpose chatbots are unreliable interaction checkers (accuracy 0.47 to 0.79 against Micromedex, low specificity).</w:t>
            </w:r>
          </w:p>
        </w:tc>
        <w:tc>
          <w:tcPr>
            <w:tcW w:type="dxa" w:w="1928"/>
            <w:shd w:val="clear" w:color="auto" w:fill="F4F1F2"/>
          </w:tcPr>
          <w:p>
            <w:pPr>
              <w:spacing w:after="30" w:line="252" w:lineRule="auto"/>
            </w:pPr>
            <w:r>
              <w:rPr>
                <w:b w:val="0"/>
                <w:i w:val="0"/>
                <w:sz w:val="17"/>
              </w:rPr>
              <w:t>Al-Ashwal 2023; Sicard 2025</w:t>
            </w:r>
          </w:p>
        </w:tc>
        <w:tc>
          <w:tcPr>
            <w:tcW w:type="dxa" w:w="2835"/>
            <w:shd w:val="clear" w:color="auto" w:fill="F4F1F2"/>
          </w:tcPr>
          <w:p>
            <w:pPr>
              <w:spacing w:after="30" w:line="252" w:lineRule="auto"/>
            </w:pPr>
            <w:r>
              <w:rPr>
                <w:b w:val="0"/>
                <w:i w:val="0"/>
                <w:sz w:val="17"/>
              </w:rPr>
              <w:t>A language model is not allowed to decide alerts.</w:t>
            </w:r>
          </w:p>
        </w:tc>
      </w:tr>
      <w:tr>
        <w:trPr>
          <w:cantSplit w:val="true"/>
        </w:trPr>
        <w:tc>
          <w:tcPr>
            <w:tcW w:type="dxa" w:w="4876"/>
          </w:tcPr>
          <w:p>
            <w:pPr>
              <w:spacing w:after="30" w:line="252" w:lineRule="auto"/>
            </w:pPr>
            <w:r>
              <w:rPr>
                <w:b w:val="0"/>
                <w:i w:val="0"/>
                <w:sz w:val="17"/>
              </w:rPr>
              <w:t>Retrieval from official sources improves the accuracy of medical language-model answers by up to about 18 %.</w:t>
            </w:r>
          </w:p>
        </w:tc>
        <w:tc>
          <w:tcPr>
            <w:tcW w:type="dxa" w:w="1928"/>
          </w:tcPr>
          <w:p>
            <w:pPr>
              <w:spacing w:after="30" w:line="252" w:lineRule="auto"/>
            </w:pPr>
            <w:r>
              <w:rPr>
                <w:b w:val="0"/>
                <w:i w:val="0"/>
                <w:sz w:val="17"/>
              </w:rPr>
              <w:t>Xiong 2024</w:t>
            </w:r>
          </w:p>
        </w:tc>
        <w:tc>
          <w:tcPr>
            <w:tcW w:type="dxa" w:w="2835"/>
          </w:tcPr>
          <w:p>
            <w:pPr>
              <w:spacing w:after="30" w:line="252" w:lineRule="auto"/>
            </w:pPr>
            <w:r>
              <w:rPr>
                <w:b w:val="0"/>
                <w:i w:val="0"/>
                <w:sz w:val="17"/>
              </w:rPr>
              <w:t>Explanations are grounded in label text.</w:t>
            </w:r>
          </w:p>
        </w:tc>
      </w:tr>
      <w:tr>
        <w:trPr>
          <w:cantSplit w:val="true"/>
        </w:trPr>
        <w:tc>
          <w:tcPr>
            <w:tcW w:type="dxa" w:w="4876"/>
            <w:shd w:val="clear" w:color="auto" w:fill="F4F1F2"/>
          </w:tcPr>
          <w:p>
            <w:pPr>
              <w:spacing w:after="30" w:line="252" w:lineRule="auto"/>
            </w:pPr>
            <w:r>
              <w:rPr>
                <w:b w:val="0"/>
                <w:i w:val="0"/>
                <w:sz w:val="17"/>
              </w:rPr>
              <w:t>Medication-adherence apps improved adherence in all 14 randomised trials of a meta-analysis.</w:t>
            </w:r>
          </w:p>
        </w:tc>
        <w:tc>
          <w:tcPr>
            <w:tcW w:type="dxa" w:w="1928"/>
            <w:shd w:val="clear" w:color="auto" w:fill="F4F1F2"/>
          </w:tcPr>
          <w:p>
            <w:pPr>
              <w:spacing w:after="30" w:line="252" w:lineRule="auto"/>
            </w:pPr>
            <w:r>
              <w:rPr>
                <w:b w:val="0"/>
                <w:i w:val="0"/>
                <w:sz w:val="17"/>
              </w:rPr>
              <w:t>Lanke 2025</w:t>
            </w:r>
          </w:p>
        </w:tc>
        <w:tc>
          <w:tcPr>
            <w:tcW w:type="dxa" w:w="2835"/>
            <w:shd w:val="clear" w:color="auto" w:fill="F4F1F2"/>
          </w:tcPr>
          <w:p>
            <w:pPr>
              <w:spacing w:after="30" w:line="252" w:lineRule="auto"/>
            </w:pPr>
            <w:r>
              <w:rPr>
                <w:b w:val="0"/>
                <w:i w:val="0"/>
                <w:sz w:val="17"/>
              </w:rPr>
              <w:t>A schedule and reminders module is justified.</w:t>
            </w:r>
          </w:p>
        </w:tc>
      </w:tr>
      <w:tr>
        <w:trPr>
          <w:cantSplit w:val="true"/>
        </w:trPr>
        <w:tc>
          <w:tcPr>
            <w:tcW w:type="dxa" w:w="4876"/>
          </w:tcPr>
          <w:p>
            <w:pPr>
              <w:spacing w:after="30" w:line="252" w:lineRule="auto"/>
            </w:pPr>
            <w:r>
              <w:rPr>
                <w:b w:val="0"/>
                <w:i w:val="0"/>
                <w:sz w:val="17"/>
              </w:rPr>
              <w:t>In a 2025 survey of 1,125 patients in Kazakhstan, 91.5 % were non-adherent to antihypertensive therapy.</w:t>
            </w:r>
          </w:p>
        </w:tc>
        <w:tc>
          <w:tcPr>
            <w:tcW w:type="dxa" w:w="1928"/>
          </w:tcPr>
          <w:p>
            <w:pPr>
              <w:spacing w:after="30" w:line="252" w:lineRule="auto"/>
            </w:pPr>
            <w:r>
              <w:rPr>
                <w:b w:val="0"/>
                <w:i w:val="0"/>
                <w:sz w:val="17"/>
              </w:rPr>
              <w:t>Markabayeva 2025</w:t>
            </w:r>
          </w:p>
        </w:tc>
        <w:tc>
          <w:tcPr>
            <w:tcW w:type="dxa" w:w="2835"/>
          </w:tcPr>
          <w:p>
            <w:pPr>
              <w:spacing w:after="30" w:line="252" w:lineRule="auto"/>
            </w:pPr>
            <w:r>
              <w:rPr>
                <w:b w:val="0"/>
                <w:i w:val="0"/>
                <w:sz w:val="17"/>
              </w:rPr>
              <w:t>Local relevance of schedule and reminder support.</w:t>
            </w:r>
          </w:p>
        </w:tc>
      </w:tr>
    </w:tbl>
    <w:p>
      <w:pPr>
        <w:spacing w:after="40"/>
      </w:pPr>
    </w:p>
    <w:p>
      <w:r>
        <w:rPr>
          <w:b w:val="0"/>
          <w:i w:val="0"/>
          <w:sz w:val="20"/>
        </w:rPr>
        <w:t>Full references and the analysis table are in Section 3 (Literature Review). The limitation of this evidence is that it measures the size of the problem and comes mostly from large hospital systems. Whether the same patterns hold in a small university clinic in Kazakhstan is checked in the interview below.</w:t>
      </w:r>
    </w:p>
    <w:p>
      <w:pPr>
        <w:pStyle w:val="Heading2"/>
      </w:pPr>
      <w:r>
        <w:t>2.2 Primary evidence: physician interview</w:t>
      </w:r>
    </w:p>
    <w:p>
      <w:pPr>
        <w:pStyle w:val="Heading3"/>
      </w:pPr>
      <w:r>
        <w:t>Method</w:t>
      </w:r>
    </w:p>
    <w:p>
      <w:pPr>
        <w:pStyle w:val="ListBullet"/>
        <w:spacing w:after="40"/>
      </w:pPr>
      <w:r>
        <w:rPr>
          <w:b/>
          <w:i w:val="0"/>
        </w:rPr>
        <w:t>Format.</w:t>
      </w:r>
      <w:r>
        <w:rPr>
          <w:b w:val="0"/>
          <w:i w:val="0"/>
        </w:rPr>
        <w:t xml:space="preserve"> Semi-structured interview with 15 open questions (guide in Russian and English). Duration about 30 to 40 minutes.</w:t>
      </w:r>
    </w:p>
    <w:p>
      <w:pPr>
        <w:pStyle w:val="ListBullet"/>
        <w:spacing w:after="40"/>
      </w:pPr>
      <w:r>
        <w:rPr>
          <w:b/>
          <w:i w:val="0"/>
        </w:rPr>
        <w:t>Recording.</w:t>
      </w:r>
      <w:r>
        <w:rPr>
          <w:b w:val="0"/>
          <w:i w:val="0"/>
        </w:rPr>
        <w:t xml:space="preserve"> Answers were written down by the interviewer during the conversation and then given to the physician, who read and confirmed them.</w:t>
      </w:r>
    </w:p>
    <w:p>
      <w:pPr>
        <w:pStyle w:val="ListBullet"/>
        <w:spacing w:after="40"/>
      </w:pPr>
      <w:r>
        <w:rPr>
          <w:b/>
          <w:i w:val="0"/>
        </w:rPr>
        <w:t>Consent and anonymity.</w:t>
      </w:r>
      <w:r>
        <w:rPr>
          <w:b w:val="0"/>
          <w:i w:val="0"/>
        </w:rPr>
        <w:t xml:space="preserve"> The physician signed an informed-consent form that allows anonymous use of the answers for academic purposes. The name is not given in this document. No patient data were discussed.</w:t>
      </w:r>
    </w:p>
    <w:p>
      <w:pPr>
        <w:pStyle w:val="ListBullet"/>
        <w:spacing w:after="40"/>
      </w:pPr>
      <w:r>
        <w:rPr>
          <w:b/>
          <w:i w:val="0"/>
        </w:rPr>
        <w:t>Questions cover</w:t>
      </w:r>
      <w:r>
        <w:rPr>
          <w:b w:val="0"/>
          <w:i w:val="0"/>
        </w:rPr>
        <w:t xml:space="preserve"> the current prescribing process, sources of drug information, time spent on checks, real error cases, completeness of the history, trust and alert fatigue, preferred place of the tool, schedules and reminders, and must-have and stop factors.</w:t>
      </w:r>
    </w:p>
    <w:p>
      <w:pPr>
        <w:pStyle w:val="Heading3"/>
      </w:pPr>
      <w:r>
        <w:t>Participant</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680"/>
        <w:gridCol w:w="1814"/>
        <w:gridCol w:w="5783"/>
        <w:gridCol w:w="1361"/>
      </w:tblGrid>
      <w:tr>
        <w:trPr>
          <w:tblHeader w:val="true"/>
        </w:trPr>
        <w:tc>
          <w:tcPr>
            <w:tcW w:type="dxa" w:w="680"/>
            <w:shd w:val="clear" w:color="auto" w:fill="6B1E3A"/>
          </w:tcPr>
          <w:p>
            <w:pPr>
              <w:spacing w:after="0"/>
            </w:pPr>
            <w:r>
              <w:rPr>
                <w:b/>
                <w:color w:val="FFFFFF"/>
                <w:sz w:val="18"/>
              </w:rPr>
              <w:t>ID</w:t>
            </w:r>
          </w:p>
        </w:tc>
        <w:tc>
          <w:tcPr>
            <w:tcW w:type="dxa" w:w="1814"/>
            <w:shd w:val="clear" w:color="auto" w:fill="6B1E3A"/>
          </w:tcPr>
          <w:p>
            <w:pPr>
              <w:spacing w:after="0"/>
            </w:pPr>
            <w:r>
              <w:rPr>
                <w:b/>
                <w:color w:val="FFFFFF"/>
                <w:sz w:val="18"/>
              </w:rPr>
              <w:t>Role</w:t>
            </w:r>
          </w:p>
        </w:tc>
        <w:tc>
          <w:tcPr>
            <w:tcW w:type="dxa" w:w="5783"/>
            <w:shd w:val="clear" w:color="auto" w:fill="6B1E3A"/>
          </w:tcPr>
          <w:p>
            <w:pPr>
              <w:spacing w:after="0"/>
            </w:pPr>
            <w:r>
              <w:rPr>
                <w:b/>
                <w:color w:val="FFFFFF"/>
                <w:sz w:val="18"/>
              </w:rPr>
              <w:t>Workplace and patients</w:t>
            </w:r>
          </w:p>
        </w:tc>
        <w:tc>
          <w:tcPr>
            <w:tcW w:type="dxa" w:w="1361"/>
            <w:shd w:val="clear" w:color="auto" w:fill="6B1E3A"/>
          </w:tcPr>
          <w:p>
            <w:pPr>
              <w:spacing w:after="0"/>
            </w:pPr>
            <w:r>
              <w:rPr>
                <w:b/>
                <w:color w:val="FFFFFF"/>
                <w:sz w:val="18"/>
              </w:rPr>
              <w:t>Date</w:t>
            </w:r>
          </w:p>
        </w:tc>
      </w:tr>
      <w:tr>
        <w:trPr>
          <w:cantSplit w:val="true"/>
        </w:trPr>
        <w:tc>
          <w:tcPr>
            <w:tcW w:type="dxa" w:w="680"/>
          </w:tcPr>
          <w:p>
            <w:pPr>
              <w:spacing w:after="30" w:line="252" w:lineRule="auto"/>
            </w:pPr>
            <w:r>
              <w:rPr>
                <w:b w:val="0"/>
                <w:i w:val="0"/>
                <w:sz w:val="18"/>
              </w:rPr>
              <w:t>P1</w:t>
            </w:r>
          </w:p>
        </w:tc>
        <w:tc>
          <w:tcPr>
            <w:tcW w:type="dxa" w:w="1814"/>
          </w:tcPr>
          <w:p>
            <w:pPr>
              <w:spacing w:after="30" w:line="252" w:lineRule="auto"/>
            </w:pPr>
            <w:r>
              <w:rPr>
                <w:b w:val="0"/>
                <w:i w:val="0"/>
                <w:sz w:val="18"/>
              </w:rPr>
              <w:t>Practising physician</w:t>
            </w:r>
          </w:p>
        </w:tc>
        <w:tc>
          <w:tcPr>
            <w:tcW w:type="dxa" w:w="5783"/>
          </w:tcPr>
          <w:p>
            <w:pPr>
              <w:spacing w:after="30" w:line="252" w:lineRule="auto"/>
            </w:pPr>
            <w:r>
              <w:rPr>
                <w:b w:val="0"/>
                <w:i w:val="0"/>
                <w:sz w:val="18"/>
              </w:rPr>
              <w:t>Clinic Mediker, located at Astana IT University. Main flow: students aged 17 to 25 and university staff. In the respiratory-infection season, 25 to 30 visits per day. Students usually take 1 to 3 drugs, staff 4 to 6.</w:t>
            </w:r>
          </w:p>
        </w:tc>
        <w:tc>
          <w:tcPr>
            <w:tcW w:type="dxa" w:w="1361"/>
          </w:tcPr>
          <w:p>
            <w:pPr>
              <w:spacing w:after="30" w:line="252" w:lineRule="auto"/>
            </w:pPr>
            <w:r>
              <w:rPr>
                <w:b w:val="0"/>
                <w:i w:val="0"/>
                <w:sz w:val="18"/>
              </w:rPr>
              <w:t>October 2026</w:t>
            </w:r>
          </w:p>
        </w:tc>
      </w:tr>
    </w:tbl>
    <w:p>
      <w:pPr>
        <w:spacing w:after="40"/>
      </w:pPr>
    </w:p>
    <w:p>
      <w:pPr>
        <w:pStyle w:val="Heading2"/>
      </w:pPr>
      <w:r>
        <w:t>2.3 Interview findings log</w:t>
      </w:r>
    </w:p>
    <w:p>
      <w:pPr>
        <w:keepNext/>
        <w:spacing w:before="160" w:after="60"/>
      </w:pPr>
      <w:r>
        <w:rPr>
          <w:i/>
          <w:color w:val="4A4650"/>
          <w:sz w:val="19"/>
        </w:rPr>
        <w:t>Table 2.2. Findings log (one row per interview)</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567"/>
        <w:gridCol w:w="4649"/>
        <w:gridCol w:w="1928"/>
        <w:gridCol w:w="2494"/>
      </w:tblGrid>
      <w:tr>
        <w:trPr>
          <w:tblHeader w:val="true"/>
        </w:trPr>
        <w:tc>
          <w:tcPr>
            <w:tcW w:type="dxa" w:w="567"/>
            <w:shd w:val="clear" w:color="auto" w:fill="6B1E3A"/>
          </w:tcPr>
          <w:p>
            <w:pPr>
              <w:spacing w:after="0"/>
            </w:pPr>
            <w:r>
              <w:rPr>
                <w:b/>
                <w:color w:val="FFFFFF"/>
                <w:sz w:val="17"/>
              </w:rPr>
              <w:t>ID</w:t>
            </w:r>
          </w:p>
        </w:tc>
        <w:tc>
          <w:tcPr>
            <w:tcW w:type="dxa" w:w="4649"/>
            <w:shd w:val="clear" w:color="auto" w:fill="6B1E3A"/>
          </w:tcPr>
          <w:p>
            <w:pPr>
              <w:spacing w:after="0"/>
            </w:pPr>
            <w:r>
              <w:rPr>
                <w:b/>
                <w:color w:val="FFFFFF"/>
                <w:sz w:val="17"/>
              </w:rPr>
              <w:t>Key findings</w:t>
            </w:r>
          </w:p>
        </w:tc>
        <w:tc>
          <w:tcPr>
            <w:tcW w:type="dxa" w:w="1928"/>
            <w:shd w:val="clear" w:color="auto" w:fill="6B1E3A"/>
          </w:tcPr>
          <w:p>
            <w:pPr>
              <w:spacing w:after="0"/>
            </w:pPr>
            <w:r>
              <w:rPr>
                <w:b/>
                <w:color w:val="FFFFFF"/>
                <w:sz w:val="17"/>
              </w:rPr>
              <w:t>Assumptions confirmed or rejected</w:t>
            </w:r>
          </w:p>
        </w:tc>
        <w:tc>
          <w:tcPr>
            <w:tcW w:type="dxa" w:w="2494"/>
            <w:shd w:val="clear" w:color="auto" w:fill="6B1E3A"/>
          </w:tcPr>
          <w:p>
            <w:pPr>
              <w:spacing w:after="0"/>
            </w:pPr>
            <w:r>
              <w:rPr>
                <w:b/>
                <w:color w:val="FFFFFF"/>
                <w:sz w:val="17"/>
              </w:rPr>
              <w:t>Resulting requirement change</w:t>
            </w:r>
          </w:p>
        </w:tc>
      </w:tr>
      <w:tr>
        <w:trPr>
          <w:cantSplit w:val="true"/>
        </w:trPr>
        <w:tc>
          <w:tcPr>
            <w:tcW w:type="dxa" w:w="567"/>
          </w:tcPr>
          <w:p>
            <w:pPr>
              <w:spacing w:after="30" w:line="252" w:lineRule="auto"/>
            </w:pPr>
            <w:r>
              <w:rPr>
                <w:b w:val="0"/>
                <w:i w:val="0"/>
                <w:sz w:val="17"/>
              </w:rPr>
              <w:t>P1</w:t>
            </w:r>
          </w:p>
        </w:tc>
        <w:tc>
          <w:tcPr>
            <w:tcW w:type="dxa" w:w="4649"/>
          </w:tcPr>
          <w:p>
            <w:pPr>
              <w:spacing w:after="30" w:line="252" w:lineRule="auto"/>
            </w:pPr>
            <w:r>
              <w:rPr>
                <w:b w:val="0"/>
                <w:i w:val="0"/>
                <w:sz w:val="17"/>
              </w:rPr>
              <w:t>1. The clinic information system has no automatic drug check; the physician uses package inserts, Vidal, Drugs.com and Medscape, and calls a clinical pharmacologist in difficult cases.</w:t>
            </w:r>
          </w:p>
          <w:p>
            <w:pPr>
              <w:spacing w:after="30" w:line="252" w:lineRule="auto"/>
            </w:pPr>
            <w:r>
              <w:rPr>
                <w:b w:val="0"/>
                <w:i w:val="0"/>
                <w:sz w:val="17"/>
              </w:rPr>
              <w:t>2. A check takes 3 to 5 minutes for 2 to 3 drugs and 10 to 15 minutes for 5 to 6 drugs, so it is skipped in busy periods.</w:t>
            </w:r>
          </w:p>
          <w:p>
            <w:pPr>
              <w:spacing w:after="30" w:line="252" w:lineRule="auto"/>
            </w:pPr>
            <w:r>
              <w:rPr>
                <w:b w:val="0"/>
                <w:i w:val="0"/>
                <w:sz w:val="17"/>
              </w:rPr>
              <w:t>3. The history is incomplete: records of other polyclinics are not visible, students buy drugs without telling, allergies are recorded in another institution only.</w:t>
            </w:r>
          </w:p>
          <w:p>
            <w:pPr>
              <w:spacing w:after="30" w:line="252" w:lineRule="auto"/>
            </w:pPr>
            <w:r>
              <w:rPr>
                <w:b w:val="0"/>
                <w:i w:val="0"/>
                <w:sz w:val="17"/>
              </w:rPr>
              <w:t>4. Real cases: an unrecorded ibuprofen plus diclofenac in a student with gastritis led to suspected bleeding; amoxicillin was given to a student with penicillin allergy that was recorded elsewhere.</w:t>
            </w:r>
          </w:p>
          <w:p>
            <w:pPr>
              <w:spacing w:after="30" w:line="252" w:lineRule="auto"/>
            </w:pPr>
            <w:r>
              <w:rPr>
                <w:b w:val="0"/>
                <w:i w:val="0"/>
                <w:sz w:val="17"/>
              </w:rPr>
              <w:t>5. Most frequent errors: duplication of active substances, then contraindication by diagnosis, then allergy.</w:t>
            </w:r>
          </w:p>
          <w:p>
            <w:pPr>
              <w:spacing w:after="30" w:line="252" w:lineRule="auto"/>
            </w:pPr>
            <w:r>
              <w:rPr>
                <w:b w:val="0"/>
                <w:i w:val="0"/>
                <w:sz w:val="17"/>
              </w:rPr>
              <w:t>6. Trust requires a clear reason and a source; false alarms and pop-ups for minor interactions must be avoided; red cannot be skipped, yellow is optional.</w:t>
            </w:r>
          </w:p>
          <w:p>
            <w:pPr>
              <w:spacing w:after="30" w:line="252" w:lineRule="auto"/>
            </w:pPr>
            <w:r>
              <w:rPr>
                <w:b w:val="0"/>
                <w:i w:val="0"/>
                <w:sz w:val="17"/>
              </w:rPr>
              <w:t>7. Checking the physician's own prescription matters more than suggestions; one or two alternatives with justification are welcome.</w:t>
            </w:r>
          </w:p>
          <w:p>
            <w:pPr>
              <w:spacing w:after="30" w:line="252" w:lineRule="auto"/>
            </w:pPr>
            <w:r>
              <w:rPr>
                <w:b w:val="0"/>
                <w:i w:val="0"/>
                <w:sz w:val="17"/>
              </w:rPr>
              <w:t>8. A schedule with reminders is wanted by students; a printout is better for older staff.</w:t>
            </w:r>
          </w:p>
          <w:p>
            <w:pPr>
              <w:spacing w:after="30" w:line="252" w:lineRule="auto"/>
            </w:pPr>
            <w:r>
              <w:rPr>
                <w:b w:val="0"/>
                <w:i w:val="0"/>
                <w:sz w:val="17"/>
              </w:rPr>
              <w:t>9. Stop factors: retyping patient data, many false warnings, unclear responsibility, patient data leaving the clinic.</w:t>
            </w:r>
          </w:p>
        </w:tc>
        <w:tc>
          <w:tcPr>
            <w:tcW w:type="dxa" w:w="1928"/>
          </w:tcPr>
          <w:p>
            <w:pPr>
              <w:spacing w:after="30" w:line="252" w:lineRule="auto"/>
            </w:pPr>
            <w:r>
              <w:rPr>
                <w:b w:val="0"/>
                <w:i w:val="0"/>
                <w:sz w:val="17"/>
              </w:rPr>
              <w:t>A1 supported</w:t>
            </w:r>
          </w:p>
          <w:p>
            <w:pPr>
              <w:spacing w:after="30" w:line="252" w:lineRule="auto"/>
            </w:pPr>
            <w:r>
              <w:rPr>
                <w:b w:val="0"/>
                <w:i w:val="0"/>
                <w:sz w:val="17"/>
              </w:rPr>
              <w:t>A2 supported</w:t>
            </w:r>
          </w:p>
          <w:p>
            <w:pPr>
              <w:spacing w:after="30" w:line="252" w:lineRule="auto"/>
            </w:pPr>
            <w:r>
              <w:rPr>
                <w:b w:val="0"/>
                <w:i w:val="0"/>
                <w:sz w:val="17"/>
              </w:rPr>
              <w:t>A3 supported</w:t>
            </w:r>
          </w:p>
          <w:p>
            <w:pPr>
              <w:spacing w:after="30" w:line="252" w:lineRule="auto"/>
            </w:pPr>
            <w:r>
              <w:rPr>
                <w:b w:val="0"/>
                <w:i w:val="0"/>
                <w:sz w:val="17"/>
              </w:rPr>
              <w:t>A5 supported</w:t>
            </w:r>
          </w:p>
          <w:p>
            <w:pPr>
              <w:spacing w:after="30" w:line="252" w:lineRule="auto"/>
            </w:pPr>
            <w:r>
              <w:rPr>
                <w:b w:val="0"/>
                <w:i w:val="0"/>
                <w:sz w:val="17"/>
              </w:rPr>
              <w:t>A6 supported for one clinic</w:t>
            </w:r>
          </w:p>
          <w:p>
            <w:pPr>
              <w:spacing w:after="30" w:line="252" w:lineRule="auto"/>
            </w:pPr>
            <w:r>
              <w:rPr>
                <w:b w:val="0"/>
                <w:i w:val="0"/>
                <w:sz w:val="17"/>
              </w:rPr>
              <w:t>A4 not answered with a number (stays an assumption)</w:t>
            </w:r>
          </w:p>
        </w:tc>
        <w:tc>
          <w:tcPr>
            <w:tcW w:type="dxa" w:w="2494"/>
          </w:tcPr>
          <w:p>
            <w:pPr>
              <w:spacing w:after="30" w:line="252" w:lineRule="auto"/>
            </w:pPr>
            <w:r>
              <w:rPr>
                <w:b w:val="0"/>
                <w:i w:val="0"/>
                <w:sz w:val="17"/>
              </w:rPr>
              <w:t>Patient self-entered history (FR-04, FR-05); doctor confirmation (FR-07); duplicate-therapy check (FR-25); three levels (FR-27); one-line explanation with source (FR-28); accept risk with comment (FR-29); alternatives (FR-30); schedule and reminders (FR-33, FR-36); data stay in the clinic (NFR-08).</w:t>
            </w:r>
          </w:p>
        </w:tc>
      </w:tr>
    </w:tbl>
    <w:p>
      <w:pPr>
        <w:spacing w:after="40"/>
      </w:pPr>
    </w:p>
    <w:p>
      <w:pPr>
        <w:pStyle w:val="Heading2"/>
      </w:pPr>
      <w:r>
        <w:t>2.4 Findings by question and design consequences</w:t>
      </w:r>
    </w:p>
    <w:p>
      <w:pPr>
        <w:keepNext/>
        <w:spacing w:before="160" w:after="60"/>
      </w:pPr>
      <w:r>
        <w:rPr>
          <w:i/>
          <w:color w:val="4A4650"/>
          <w:sz w:val="19"/>
        </w:rPr>
        <w:t>Table 2.3. What the physician said and what follows for the system</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510"/>
        <w:gridCol w:w="1304"/>
        <w:gridCol w:w="3572"/>
        <w:gridCol w:w="2721"/>
        <w:gridCol w:w="1531"/>
      </w:tblGrid>
      <w:tr>
        <w:trPr>
          <w:tblHeader w:val="true"/>
        </w:trPr>
        <w:tc>
          <w:tcPr>
            <w:tcW w:type="dxa" w:w="510"/>
            <w:shd w:val="clear" w:color="auto" w:fill="6B1E3A"/>
          </w:tcPr>
          <w:p>
            <w:pPr>
              <w:spacing w:after="0"/>
            </w:pPr>
            <w:r>
              <w:rPr>
                <w:b/>
                <w:color w:val="FFFFFF"/>
                <w:sz w:val="17"/>
              </w:rPr>
              <w:t>Q</w:t>
            </w:r>
          </w:p>
        </w:tc>
        <w:tc>
          <w:tcPr>
            <w:tcW w:type="dxa" w:w="1304"/>
            <w:shd w:val="clear" w:color="auto" w:fill="6B1E3A"/>
          </w:tcPr>
          <w:p>
            <w:pPr>
              <w:spacing w:after="0"/>
            </w:pPr>
            <w:r>
              <w:rPr>
                <w:b/>
                <w:color w:val="FFFFFF"/>
                <w:sz w:val="17"/>
              </w:rPr>
              <w:t>Topic</w:t>
            </w:r>
          </w:p>
        </w:tc>
        <w:tc>
          <w:tcPr>
            <w:tcW w:type="dxa" w:w="3572"/>
            <w:shd w:val="clear" w:color="auto" w:fill="6B1E3A"/>
          </w:tcPr>
          <w:p>
            <w:pPr>
              <w:spacing w:after="0"/>
            </w:pPr>
            <w:r>
              <w:rPr>
                <w:b/>
                <w:color w:val="FFFFFF"/>
                <w:sz w:val="17"/>
              </w:rPr>
              <w:t>Finding (P1)</w:t>
            </w:r>
          </w:p>
        </w:tc>
        <w:tc>
          <w:tcPr>
            <w:tcW w:type="dxa" w:w="2721"/>
            <w:shd w:val="clear" w:color="auto" w:fill="6B1E3A"/>
          </w:tcPr>
          <w:p>
            <w:pPr>
              <w:spacing w:after="0"/>
            </w:pPr>
            <w:r>
              <w:rPr>
                <w:b/>
                <w:color w:val="FFFFFF"/>
                <w:sz w:val="17"/>
              </w:rPr>
              <w:t>Design consequence</w:t>
            </w:r>
          </w:p>
        </w:tc>
        <w:tc>
          <w:tcPr>
            <w:tcW w:type="dxa" w:w="1531"/>
            <w:shd w:val="clear" w:color="auto" w:fill="6B1E3A"/>
          </w:tcPr>
          <w:p>
            <w:pPr>
              <w:spacing w:after="0"/>
            </w:pPr>
            <w:r>
              <w:rPr>
                <w:b/>
                <w:color w:val="FFFFFF"/>
                <w:sz w:val="17"/>
              </w:rPr>
              <w:t>Requirement</w:t>
            </w:r>
          </w:p>
        </w:tc>
      </w:tr>
      <w:tr>
        <w:trPr>
          <w:cantSplit w:val="true"/>
        </w:trPr>
        <w:tc>
          <w:tcPr>
            <w:tcW w:type="dxa" w:w="510"/>
          </w:tcPr>
          <w:p>
            <w:pPr>
              <w:spacing w:after="30" w:line="252" w:lineRule="auto"/>
            </w:pPr>
            <w:r>
              <w:rPr>
                <w:b w:val="0"/>
                <w:i w:val="0"/>
                <w:sz w:val="17"/>
              </w:rPr>
              <w:t>Q1</w:t>
            </w:r>
          </w:p>
        </w:tc>
        <w:tc>
          <w:tcPr>
            <w:tcW w:type="dxa" w:w="1304"/>
          </w:tcPr>
          <w:p>
            <w:pPr>
              <w:spacing w:after="30" w:line="252" w:lineRule="auto"/>
            </w:pPr>
            <w:r>
              <w:rPr>
                <w:b w:val="0"/>
                <w:i w:val="0"/>
                <w:sz w:val="17"/>
              </w:rPr>
              <w:t>Patients and polypharmacy</w:t>
            </w:r>
          </w:p>
        </w:tc>
        <w:tc>
          <w:tcPr>
            <w:tcW w:type="dxa" w:w="3572"/>
          </w:tcPr>
          <w:p>
            <w:pPr>
              <w:spacing w:after="30" w:line="252" w:lineRule="auto"/>
            </w:pPr>
            <w:r>
              <w:rPr>
                <w:b w:val="0"/>
                <w:i w:val="0"/>
                <w:sz w:val="17"/>
              </w:rPr>
              <w:t>Students 17 to 25 take 1 to 3 drugs; staff over 40 take 4 to 6. Chronic: asthma, diabetes, epilepsy, hypertension, thyroid.</w:t>
            </w:r>
          </w:p>
        </w:tc>
        <w:tc>
          <w:tcPr>
            <w:tcW w:type="dxa" w:w="2721"/>
          </w:tcPr>
          <w:p>
            <w:pPr>
              <w:spacing w:after="30" w:line="252" w:lineRule="auto"/>
            </w:pPr>
            <w:r>
              <w:rPr>
                <w:b w:val="0"/>
                <w:i w:val="0"/>
                <w:sz w:val="17"/>
              </w:rPr>
              <w:t>Demonstration data should cover young patients and a smaller group of adults with several drugs.</w:t>
            </w:r>
          </w:p>
        </w:tc>
        <w:tc>
          <w:tcPr>
            <w:tcW w:type="dxa" w:w="1531"/>
          </w:tcPr>
          <w:p>
            <w:pPr>
              <w:spacing w:after="30" w:line="252" w:lineRule="auto"/>
            </w:pPr>
            <w:r>
              <w:rPr>
                <w:b w:val="0"/>
                <w:i w:val="0"/>
                <w:sz w:val="17"/>
              </w:rPr>
              <w:t>FR-03; NFR-21</w:t>
            </w:r>
          </w:p>
        </w:tc>
      </w:tr>
      <w:tr>
        <w:trPr>
          <w:cantSplit w:val="true"/>
        </w:trPr>
        <w:tc>
          <w:tcPr>
            <w:tcW w:type="dxa" w:w="510"/>
            <w:shd w:val="clear" w:color="auto" w:fill="F4F1F2"/>
          </w:tcPr>
          <w:p>
            <w:pPr>
              <w:spacing w:after="30" w:line="252" w:lineRule="auto"/>
            </w:pPr>
            <w:r>
              <w:rPr>
                <w:b w:val="0"/>
                <w:i w:val="0"/>
                <w:sz w:val="17"/>
              </w:rPr>
              <w:t>Q2</w:t>
            </w:r>
          </w:p>
        </w:tc>
        <w:tc>
          <w:tcPr>
            <w:tcW w:type="dxa" w:w="1304"/>
            <w:shd w:val="clear" w:color="auto" w:fill="F4F1F2"/>
          </w:tcPr>
          <w:p>
            <w:pPr>
              <w:spacing w:after="30" w:line="252" w:lineRule="auto"/>
            </w:pPr>
            <w:r>
              <w:rPr>
                <w:b w:val="0"/>
                <w:i w:val="0"/>
                <w:sz w:val="17"/>
              </w:rPr>
              <w:t>Prescribing steps</w:t>
            </w:r>
          </w:p>
        </w:tc>
        <w:tc>
          <w:tcPr>
            <w:tcW w:type="dxa" w:w="3572"/>
            <w:shd w:val="clear" w:color="auto" w:fill="F4F1F2"/>
          </w:tcPr>
          <w:p>
            <w:pPr>
              <w:spacing w:after="30" w:line="252" w:lineRule="auto"/>
            </w:pPr>
            <w:r>
              <w:rPr>
                <w:b w:val="0"/>
                <w:i w:val="0"/>
                <w:sz w:val="17"/>
              </w:rPr>
              <w:t>Opens the clinic record, asks the patient about current drugs, allergies and drugs from other doctors, selects the drug by protocol, checks contraindications and compatibility, writes the prescription.</w:t>
            </w:r>
          </w:p>
        </w:tc>
        <w:tc>
          <w:tcPr>
            <w:tcW w:type="dxa" w:w="2721"/>
            <w:shd w:val="clear" w:color="auto" w:fill="F4F1F2"/>
          </w:tcPr>
          <w:p>
            <w:pPr>
              <w:spacing w:after="30" w:line="252" w:lineRule="auto"/>
            </w:pPr>
            <w:r>
              <w:rPr>
                <w:b w:val="0"/>
                <w:i w:val="0"/>
                <w:sz w:val="17"/>
              </w:rPr>
              <w:t>The check belongs between choosing the drug and issuing the prescription; the history must be on the same screen.</w:t>
            </w:r>
          </w:p>
        </w:tc>
        <w:tc>
          <w:tcPr>
            <w:tcW w:type="dxa" w:w="1531"/>
            <w:shd w:val="clear" w:color="auto" w:fill="F4F1F2"/>
          </w:tcPr>
          <w:p>
            <w:pPr>
              <w:spacing w:after="30" w:line="252" w:lineRule="auto"/>
            </w:pPr>
            <w:r>
              <w:rPr>
                <w:b w:val="0"/>
                <w:i w:val="0"/>
                <w:sz w:val="17"/>
              </w:rPr>
              <w:t>FR-06, FR-21</w:t>
            </w:r>
          </w:p>
        </w:tc>
      </w:tr>
      <w:tr>
        <w:trPr>
          <w:cantSplit w:val="true"/>
        </w:trPr>
        <w:tc>
          <w:tcPr>
            <w:tcW w:type="dxa" w:w="510"/>
          </w:tcPr>
          <w:p>
            <w:pPr>
              <w:spacing w:after="30" w:line="252" w:lineRule="auto"/>
            </w:pPr>
            <w:r>
              <w:rPr>
                <w:b w:val="0"/>
                <w:i w:val="0"/>
                <w:sz w:val="17"/>
              </w:rPr>
              <w:t>Q3</w:t>
            </w:r>
          </w:p>
        </w:tc>
        <w:tc>
          <w:tcPr>
            <w:tcW w:type="dxa" w:w="1304"/>
          </w:tcPr>
          <w:p>
            <w:pPr>
              <w:spacing w:after="30" w:line="252" w:lineRule="auto"/>
            </w:pPr>
            <w:r>
              <w:rPr>
                <w:b w:val="0"/>
                <w:i w:val="0"/>
                <w:sz w:val="17"/>
              </w:rPr>
              <w:t>Sources of information</w:t>
            </w:r>
          </w:p>
        </w:tc>
        <w:tc>
          <w:tcPr>
            <w:tcW w:type="dxa" w:w="3572"/>
          </w:tcPr>
          <w:p>
            <w:pPr>
              <w:spacing w:after="30" w:line="252" w:lineRule="auto"/>
            </w:pPr>
            <w:r>
              <w:rPr>
                <w:b w:val="0"/>
                <w:i w:val="0"/>
                <w:sz w:val="17"/>
              </w:rPr>
              <w:t>Package inserts, Vidal, Drugs.com, Medscape; no automatic check in the clinic system; colleagues or a clinical pharmacologist for complex cases.</w:t>
            </w:r>
          </w:p>
        </w:tc>
        <w:tc>
          <w:tcPr>
            <w:tcW w:type="dxa" w:w="2721"/>
          </w:tcPr>
          <w:p>
            <w:pPr>
              <w:spacing w:after="30" w:line="252" w:lineRule="auto"/>
            </w:pPr>
            <w:r>
              <w:rPr>
                <w:b w:val="0"/>
                <w:i w:val="0"/>
                <w:sz w:val="17"/>
              </w:rPr>
              <w:t>There is no integrated tool today. The check must be inside one workspace and cite its sources.</w:t>
            </w:r>
          </w:p>
        </w:tc>
        <w:tc>
          <w:tcPr>
            <w:tcW w:type="dxa" w:w="1531"/>
          </w:tcPr>
          <w:p>
            <w:pPr>
              <w:spacing w:after="30" w:line="252" w:lineRule="auto"/>
            </w:pPr>
            <w:r>
              <w:rPr>
                <w:b w:val="0"/>
                <w:i w:val="0"/>
                <w:sz w:val="17"/>
              </w:rPr>
              <w:t>FR-22, FR-28</w:t>
            </w:r>
          </w:p>
        </w:tc>
      </w:tr>
      <w:tr>
        <w:trPr>
          <w:cantSplit w:val="true"/>
        </w:trPr>
        <w:tc>
          <w:tcPr>
            <w:tcW w:type="dxa" w:w="510"/>
            <w:shd w:val="clear" w:color="auto" w:fill="F4F1F2"/>
          </w:tcPr>
          <w:p>
            <w:pPr>
              <w:spacing w:after="30" w:line="252" w:lineRule="auto"/>
            </w:pPr>
            <w:r>
              <w:rPr>
                <w:b w:val="0"/>
                <w:i w:val="0"/>
                <w:sz w:val="17"/>
              </w:rPr>
              <w:t>Q4</w:t>
            </w:r>
          </w:p>
        </w:tc>
        <w:tc>
          <w:tcPr>
            <w:tcW w:type="dxa" w:w="1304"/>
            <w:shd w:val="clear" w:color="auto" w:fill="F4F1F2"/>
          </w:tcPr>
          <w:p>
            <w:pPr>
              <w:spacing w:after="30" w:line="252" w:lineRule="auto"/>
            </w:pPr>
            <w:r>
              <w:rPr>
                <w:b w:val="0"/>
                <w:i w:val="0"/>
                <w:sz w:val="17"/>
              </w:rPr>
              <w:t>Time spent</w:t>
            </w:r>
          </w:p>
        </w:tc>
        <w:tc>
          <w:tcPr>
            <w:tcW w:type="dxa" w:w="3572"/>
            <w:shd w:val="clear" w:color="auto" w:fill="F4F1F2"/>
          </w:tcPr>
          <w:p>
            <w:pPr>
              <w:spacing w:after="30" w:line="252" w:lineRule="auto"/>
            </w:pPr>
            <w:r>
              <w:rPr>
                <w:b w:val="0"/>
                <w:i w:val="0"/>
                <w:sz w:val="17"/>
              </w:rPr>
              <w:t>3 to 5 minutes for 2 to 3 drugs, up to 10 to 15 for 5 to 6 drugs; with 25 to 30 visits per day not every patient is checked.</w:t>
            </w:r>
          </w:p>
        </w:tc>
        <w:tc>
          <w:tcPr>
            <w:tcW w:type="dxa" w:w="2721"/>
            <w:shd w:val="clear" w:color="auto" w:fill="F4F1F2"/>
          </w:tcPr>
          <w:p>
            <w:pPr>
              <w:spacing w:after="30" w:line="252" w:lineRule="auto"/>
            </w:pPr>
            <w:r>
              <w:rPr>
                <w:b w:val="0"/>
                <w:i w:val="0"/>
                <w:sz w:val="17"/>
              </w:rPr>
              <w:t>Target: the result in a few seconds so the check can be done for every visit.</w:t>
            </w:r>
          </w:p>
        </w:tc>
        <w:tc>
          <w:tcPr>
            <w:tcW w:type="dxa" w:w="1531"/>
            <w:shd w:val="clear" w:color="auto" w:fill="F4F1F2"/>
          </w:tcPr>
          <w:p>
            <w:pPr>
              <w:spacing w:after="30" w:line="252" w:lineRule="auto"/>
            </w:pPr>
            <w:r>
              <w:rPr>
                <w:b w:val="0"/>
                <w:i w:val="0"/>
                <w:sz w:val="17"/>
              </w:rPr>
              <w:t>NFR-01</w:t>
            </w:r>
          </w:p>
        </w:tc>
      </w:tr>
      <w:tr>
        <w:trPr>
          <w:cantSplit w:val="true"/>
        </w:trPr>
        <w:tc>
          <w:tcPr>
            <w:tcW w:type="dxa" w:w="510"/>
          </w:tcPr>
          <w:p>
            <w:pPr>
              <w:spacing w:after="30" w:line="252" w:lineRule="auto"/>
            </w:pPr>
            <w:r>
              <w:rPr>
                <w:b w:val="0"/>
                <w:i w:val="0"/>
                <w:sz w:val="17"/>
              </w:rPr>
              <w:t>Q5</w:t>
            </w:r>
          </w:p>
        </w:tc>
        <w:tc>
          <w:tcPr>
            <w:tcW w:type="dxa" w:w="1304"/>
          </w:tcPr>
          <w:p>
            <w:pPr>
              <w:spacing w:after="30" w:line="252" w:lineRule="auto"/>
            </w:pPr>
            <w:r>
              <w:rPr>
                <w:b w:val="0"/>
                <w:i w:val="0"/>
                <w:sz w:val="17"/>
              </w:rPr>
              <w:t>Real error cases</w:t>
            </w:r>
          </w:p>
        </w:tc>
        <w:tc>
          <w:tcPr>
            <w:tcW w:type="dxa" w:w="3572"/>
          </w:tcPr>
          <w:p>
            <w:pPr>
              <w:spacing w:after="30" w:line="252" w:lineRule="auto"/>
            </w:pPr>
            <w:r>
              <w:rPr>
                <w:b w:val="0"/>
                <w:i w:val="0"/>
                <w:sz w:val="17"/>
              </w:rPr>
              <w:t>Unrecorded ibuprofen plus diclofenac led to suspected bleeding; allergy to penicillin was known only to another institution.</w:t>
            </w:r>
          </w:p>
        </w:tc>
        <w:tc>
          <w:tcPr>
            <w:tcW w:type="dxa" w:w="2721"/>
          </w:tcPr>
          <w:p>
            <w:pPr>
              <w:spacing w:after="30" w:line="252" w:lineRule="auto"/>
            </w:pPr>
            <w:r>
              <w:rPr>
                <w:b w:val="0"/>
                <w:i w:val="0"/>
                <w:sz w:val="17"/>
              </w:rPr>
              <w:t>The system must see all current drugs and allergies; the patient is a source of history.</w:t>
            </w:r>
          </w:p>
        </w:tc>
        <w:tc>
          <w:tcPr>
            <w:tcW w:type="dxa" w:w="1531"/>
          </w:tcPr>
          <w:p>
            <w:pPr>
              <w:spacing w:after="30" w:line="252" w:lineRule="auto"/>
            </w:pPr>
            <w:r>
              <w:rPr>
                <w:b w:val="0"/>
                <w:i w:val="0"/>
                <w:sz w:val="17"/>
              </w:rPr>
              <w:t>FR-05, FR-23, FR-22</w:t>
            </w:r>
          </w:p>
        </w:tc>
      </w:tr>
      <w:tr>
        <w:trPr>
          <w:cantSplit w:val="true"/>
        </w:trPr>
        <w:tc>
          <w:tcPr>
            <w:tcW w:type="dxa" w:w="510"/>
            <w:shd w:val="clear" w:color="auto" w:fill="F4F1F2"/>
          </w:tcPr>
          <w:p>
            <w:pPr>
              <w:spacing w:after="30" w:line="252" w:lineRule="auto"/>
            </w:pPr>
            <w:r>
              <w:rPr>
                <w:b w:val="0"/>
                <w:i w:val="0"/>
                <w:sz w:val="17"/>
              </w:rPr>
              <w:t>Q6</w:t>
            </w:r>
          </w:p>
        </w:tc>
        <w:tc>
          <w:tcPr>
            <w:tcW w:type="dxa" w:w="1304"/>
            <w:shd w:val="clear" w:color="auto" w:fill="F4F1F2"/>
          </w:tcPr>
          <w:p>
            <w:pPr>
              <w:spacing w:after="30" w:line="252" w:lineRule="auto"/>
            </w:pPr>
            <w:r>
              <w:rPr>
                <w:b w:val="0"/>
                <w:i w:val="0"/>
                <w:sz w:val="17"/>
              </w:rPr>
              <w:t>Most frequent errors</w:t>
            </w:r>
          </w:p>
        </w:tc>
        <w:tc>
          <w:tcPr>
            <w:tcW w:type="dxa" w:w="3572"/>
            <w:shd w:val="clear" w:color="auto" w:fill="F4F1F2"/>
          </w:tcPr>
          <w:p>
            <w:pPr>
              <w:spacing w:after="30" w:line="252" w:lineRule="auto"/>
            </w:pPr>
            <w:r>
              <w:rPr>
                <w:b w:val="0"/>
                <w:i w:val="0"/>
                <w:sz w:val="17"/>
              </w:rPr>
              <w:t>Duplication of active substances first, then contraindication by diagnosis, then allergy; dose errors from self-medication; true interactions are rare in young people.</w:t>
            </w:r>
          </w:p>
        </w:tc>
        <w:tc>
          <w:tcPr>
            <w:tcW w:type="dxa" w:w="2721"/>
            <w:shd w:val="clear" w:color="auto" w:fill="F4F1F2"/>
          </w:tcPr>
          <w:p>
            <w:pPr>
              <w:spacing w:after="30" w:line="252" w:lineRule="auto"/>
            </w:pPr>
            <w:r>
              <w:rPr>
                <w:b w:val="0"/>
                <w:i w:val="0"/>
                <w:sz w:val="17"/>
              </w:rPr>
              <w:t>Duplicate-therapy and contraindication checks are Must, not only interactions.</w:t>
            </w:r>
          </w:p>
        </w:tc>
        <w:tc>
          <w:tcPr>
            <w:tcW w:type="dxa" w:w="1531"/>
            <w:shd w:val="clear" w:color="auto" w:fill="F4F1F2"/>
          </w:tcPr>
          <w:p>
            <w:pPr>
              <w:spacing w:after="30" w:line="252" w:lineRule="auto"/>
            </w:pPr>
            <w:r>
              <w:rPr>
                <w:b w:val="0"/>
                <w:i w:val="0"/>
                <w:sz w:val="17"/>
              </w:rPr>
              <w:t>FR-25, FR-24, FR-26</w:t>
            </w:r>
          </w:p>
        </w:tc>
      </w:tr>
      <w:tr>
        <w:trPr>
          <w:cantSplit w:val="true"/>
        </w:trPr>
        <w:tc>
          <w:tcPr>
            <w:tcW w:type="dxa" w:w="510"/>
          </w:tcPr>
          <w:p>
            <w:pPr>
              <w:spacing w:after="30" w:line="252" w:lineRule="auto"/>
            </w:pPr>
            <w:r>
              <w:rPr>
                <w:b w:val="0"/>
                <w:i w:val="0"/>
                <w:sz w:val="17"/>
              </w:rPr>
              <w:t>Q7</w:t>
            </w:r>
          </w:p>
        </w:tc>
        <w:tc>
          <w:tcPr>
            <w:tcW w:type="dxa" w:w="1304"/>
          </w:tcPr>
          <w:p>
            <w:pPr>
              <w:spacing w:after="30" w:line="252" w:lineRule="auto"/>
            </w:pPr>
            <w:r>
              <w:rPr>
                <w:b w:val="0"/>
                <w:i w:val="0"/>
                <w:sz w:val="17"/>
              </w:rPr>
              <w:t>Completeness of drug list</w:t>
            </w:r>
          </w:p>
        </w:tc>
        <w:tc>
          <w:tcPr>
            <w:tcW w:type="dxa" w:w="3572"/>
          </w:tcPr>
          <w:p>
            <w:pPr>
              <w:spacing w:after="30" w:line="252" w:lineRule="auto"/>
            </w:pPr>
            <w:r>
              <w:rPr>
                <w:b w:val="0"/>
                <w:i w:val="0"/>
                <w:sz w:val="17"/>
              </w:rPr>
              <w:t>Less than half is known: other polyclinics are not visible; painkillers, sleeping pills, supplements and vitamins are not mentioned unless asked.</w:t>
            </w:r>
          </w:p>
        </w:tc>
        <w:tc>
          <w:tcPr>
            <w:tcW w:type="dxa" w:w="2721"/>
          </w:tcPr>
          <w:p>
            <w:pPr>
              <w:spacing w:after="30" w:line="252" w:lineRule="auto"/>
            </w:pPr>
            <w:r>
              <w:rPr>
                <w:b w:val="0"/>
                <w:i w:val="0"/>
                <w:sz w:val="17"/>
              </w:rPr>
              <w:t>Patients enter their own medicines, including over-the-counter and supplements; the doctor confirms.</w:t>
            </w:r>
          </w:p>
        </w:tc>
        <w:tc>
          <w:tcPr>
            <w:tcW w:type="dxa" w:w="1531"/>
          </w:tcPr>
          <w:p>
            <w:pPr>
              <w:spacing w:after="30" w:line="252" w:lineRule="auto"/>
            </w:pPr>
            <w:r>
              <w:rPr>
                <w:b w:val="0"/>
                <w:i w:val="0"/>
                <w:sz w:val="17"/>
              </w:rPr>
              <w:t>FR-05, FR-07</w:t>
            </w:r>
          </w:p>
        </w:tc>
      </w:tr>
      <w:tr>
        <w:trPr>
          <w:cantSplit w:val="true"/>
        </w:trPr>
        <w:tc>
          <w:tcPr>
            <w:tcW w:type="dxa" w:w="510"/>
            <w:shd w:val="clear" w:color="auto" w:fill="F4F1F2"/>
          </w:tcPr>
          <w:p>
            <w:pPr>
              <w:spacing w:after="30" w:line="252" w:lineRule="auto"/>
            </w:pPr>
            <w:r>
              <w:rPr>
                <w:b w:val="0"/>
                <w:i w:val="0"/>
                <w:sz w:val="17"/>
              </w:rPr>
              <w:t>Q8</w:t>
            </w:r>
          </w:p>
        </w:tc>
        <w:tc>
          <w:tcPr>
            <w:tcW w:type="dxa" w:w="1304"/>
            <w:shd w:val="clear" w:color="auto" w:fill="F4F1F2"/>
          </w:tcPr>
          <w:p>
            <w:pPr>
              <w:spacing w:after="30" w:line="252" w:lineRule="auto"/>
            </w:pPr>
            <w:r>
              <w:rPr>
                <w:b w:val="0"/>
                <w:i w:val="0"/>
                <w:sz w:val="17"/>
              </w:rPr>
              <w:t>Form of the history</w:t>
            </w:r>
          </w:p>
        </w:tc>
        <w:tc>
          <w:tcPr>
            <w:tcW w:type="dxa" w:w="3572"/>
            <w:shd w:val="clear" w:color="auto" w:fill="F4F1F2"/>
          </w:tcPr>
          <w:p>
            <w:pPr>
              <w:spacing w:after="30" w:line="252" w:lineRule="auto"/>
            </w:pPr>
            <w:r>
              <w:rPr>
                <w:b w:val="0"/>
                <w:i w:val="0"/>
                <w:sz w:val="17"/>
              </w:rPr>
              <w:t>Own clinic system; free text; diagnosis and allergy fields often empty; paper or photos of discharge summaries; history re-asked at every visit.</w:t>
            </w:r>
          </w:p>
        </w:tc>
        <w:tc>
          <w:tcPr>
            <w:tcW w:type="dxa" w:w="2721"/>
            <w:shd w:val="clear" w:color="auto" w:fill="F4F1F2"/>
          </w:tcPr>
          <w:p>
            <w:pPr>
              <w:spacing w:after="30" w:line="252" w:lineRule="auto"/>
            </w:pPr>
            <w:r>
              <w:rPr>
                <w:b w:val="0"/>
                <w:i w:val="0"/>
                <w:sz w:val="17"/>
              </w:rPr>
              <w:t>Free-text input with extraction, and a profile that the patient keeps up to date.</w:t>
            </w:r>
          </w:p>
        </w:tc>
        <w:tc>
          <w:tcPr>
            <w:tcW w:type="dxa" w:w="1531"/>
            <w:shd w:val="clear" w:color="auto" w:fill="F4F1F2"/>
          </w:tcPr>
          <w:p>
            <w:pPr>
              <w:spacing w:after="30" w:line="252" w:lineRule="auto"/>
            </w:pPr>
            <w:r>
              <w:rPr>
                <w:b w:val="0"/>
                <w:i w:val="0"/>
                <w:sz w:val="17"/>
              </w:rPr>
              <w:t>FR-16, FR-17, FR-04</w:t>
            </w:r>
          </w:p>
        </w:tc>
      </w:tr>
      <w:tr>
        <w:trPr>
          <w:cantSplit w:val="true"/>
        </w:trPr>
        <w:tc>
          <w:tcPr>
            <w:tcW w:type="dxa" w:w="510"/>
          </w:tcPr>
          <w:p>
            <w:pPr>
              <w:spacing w:after="30" w:line="252" w:lineRule="auto"/>
            </w:pPr>
            <w:r>
              <w:rPr>
                <w:b w:val="0"/>
                <w:i w:val="0"/>
                <w:sz w:val="17"/>
              </w:rPr>
              <w:t>Q9</w:t>
            </w:r>
          </w:p>
        </w:tc>
        <w:tc>
          <w:tcPr>
            <w:tcW w:type="dxa" w:w="1304"/>
          </w:tcPr>
          <w:p>
            <w:pPr>
              <w:spacing w:after="30" w:line="252" w:lineRule="auto"/>
            </w:pPr>
            <w:r>
              <w:rPr>
                <w:b w:val="0"/>
                <w:i w:val="0"/>
                <w:sz w:val="17"/>
              </w:rPr>
              <w:t>Trust</w:t>
            </w:r>
          </w:p>
        </w:tc>
        <w:tc>
          <w:tcPr>
            <w:tcW w:type="dxa" w:w="3572"/>
          </w:tcPr>
          <w:p>
            <w:pPr>
              <w:spacing w:after="30" w:line="252" w:lineRule="auto"/>
            </w:pPr>
            <w:r>
              <w:rPr>
                <w:b w:val="0"/>
                <w:i w:val="0"/>
                <w:sz w:val="17"/>
              </w:rPr>
              <w:t>Yes, if the warning has a clear reason and a source; trust grows after comparison with reference books; the final decision stays with the physician.</w:t>
            </w:r>
          </w:p>
        </w:tc>
        <w:tc>
          <w:tcPr>
            <w:tcW w:type="dxa" w:w="2721"/>
          </w:tcPr>
          <w:p>
            <w:pPr>
              <w:spacing w:after="30" w:line="252" w:lineRule="auto"/>
            </w:pPr>
            <w:r>
              <w:rPr>
                <w:b w:val="0"/>
                <w:i w:val="0"/>
                <w:sz w:val="17"/>
              </w:rPr>
              <w:t>Reason and source on every alert; decision support, not decision making.</w:t>
            </w:r>
          </w:p>
        </w:tc>
        <w:tc>
          <w:tcPr>
            <w:tcW w:type="dxa" w:w="1531"/>
          </w:tcPr>
          <w:p>
            <w:pPr>
              <w:spacing w:after="30" w:line="252" w:lineRule="auto"/>
            </w:pPr>
            <w:r>
              <w:rPr>
                <w:b w:val="0"/>
                <w:i w:val="0"/>
                <w:sz w:val="17"/>
              </w:rPr>
              <w:t>FR-28; NFR-05, NFR-10</w:t>
            </w:r>
          </w:p>
        </w:tc>
      </w:tr>
      <w:tr>
        <w:trPr>
          <w:cantSplit w:val="true"/>
        </w:trPr>
        <w:tc>
          <w:tcPr>
            <w:tcW w:type="dxa" w:w="510"/>
            <w:shd w:val="clear" w:color="auto" w:fill="F4F1F2"/>
          </w:tcPr>
          <w:p>
            <w:pPr>
              <w:spacing w:after="30" w:line="252" w:lineRule="auto"/>
            </w:pPr>
            <w:r>
              <w:rPr>
                <w:b w:val="0"/>
                <w:i w:val="0"/>
                <w:sz w:val="17"/>
              </w:rPr>
              <w:t>Q10</w:t>
            </w:r>
          </w:p>
        </w:tc>
        <w:tc>
          <w:tcPr>
            <w:tcW w:type="dxa" w:w="1304"/>
            <w:shd w:val="clear" w:color="auto" w:fill="F4F1F2"/>
          </w:tcPr>
          <w:p>
            <w:pPr>
              <w:spacing w:after="30" w:line="252" w:lineRule="auto"/>
            </w:pPr>
            <w:r>
              <w:rPr>
                <w:b w:val="0"/>
                <w:i w:val="0"/>
                <w:sz w:val="17"/>
              </w:rPr>
              <w:t>Which warnings</w:t>
            </w:r>
          </w:p>
        </w:tc>
        <w:tc>
          <w:tcPr>
            <w:tcW w:type="dxa" w:w="3572"/>
            <w:shd w:val="clear" w:color="auto" w:fill="F4F1F2"/>
          </w:tcPr>
          <w:p>
            <w:pPr>
              <w:spacing w:after="30" w:line="252" w:lineRule="auto"/>
            </w:pPr>
            <w:r>
              <w:rPr>
                <w:b w:val="0"/>
                <w:i w:val="0"/>
                <w:sz w:val="17"/>
              </w:rPr>
              <w:t>Wants dangerous interactions, allergy, contraindication including pregnancy, duplication and dose exceedance; minor interactions and per-drug pop-ups are noise; split by risk level.</w:t>
            </w:r>
          </w:p>
        </w:tc>
        <w:tc>
          <w:tcPr>
            <w:tcW w:type="dxa" w:w="2721"/>
            <w:shd w:val="clear" w:color="auto" w:fill="F4F1F2"/>
          </w:tcPr>
          <w:p>
            <w:pPr>
              <w:spacing w:after="30" w:line="252" w:lineRule="auto"/>
            </w:pPr>
            <w:r>
              <w:rPr>
                <w:b w:val="0"/>
                <w:i w:val="0"/>
                <w:sz w:val="17"/>
              </w:rPr>
              <w:t>Three levels; minor items collapsed; no blocking pop-ups per drug.</w:t>
            </w:r>
          </w:p>
        </w:tc>
        <w:tc>
          <w:tcPr>
            <w:tcW w:type="dxa" w:w="1531"/>
            <w:shd w:val="clear" w:color="auto" w:fill="F4F1F2"/>
          </w:tcPr>
          <w:p>
            <w:pPr>
              <w:spacing w:after="30" w:line="252" w:lineRule="auto"/>
            </w:pPr>
            <w:r>
              <w:rPr>
                <w:b w:val="0"/>
                <w:i w:val="0"/>
                <w:sz w:val="17"/>
              </w:rPr>
              <w:t>FR-27, FR-26</w:t>
            </w:r>
          </w:p>
        </w:tc>
      </w:tr>
      <w:tr>
        <w:trPr>
          <w:cantSplit w:val="true"/>
        </w:trPr>
        <w:tc>
          <w:tcPr>
            <w:tcW w:type="dxa" w:w="510"/>
          </w:tcPr>
          <w:p>
            <w:pPr>
              <w:spacing w:after="30" w:line="252" w:lineRule="auto"/>
            </w:pPr>
            <w:r>
              <w:rPr>
                <w:b w:val="0"/>
                <w:i w:val="0"/>
                <w:sz w:val="17"/>
              </w:rPr>
              <w:t>Q11</w:t>
            </w:r>
          </w:p>
        </w:tc>
        <w:tc>
          <w:tcPr>
            <w:tcW w:type="dxa" w:w="1304"/>
          </w:tcPr>
          <w:p>
            <w:pPr>
              <w:spacing w:after="30" w:line="252" w:lineRule="auto"/>
            </w:pPr>
            <w:r>
              <w:rPr>
                <w:b w:val="0"/>
                <w:i w:val="0"/>
                <w:sz w:val="17"/>
              </w:rPr>
              <w:t>Check or suggest</w:t>
            </w:r>
          </w:p>
        </w:tc>
        <w:tc>
          <w:tcPr>
            <w:tcW w:type="dxa" w:w="3572"/>
          </w:tcPr>
          <w:p>
            <w:pPr>
              <w:spacing w:after="30" w:line="252" w:lineRule="auto"/>
            </w:pPr>
            <w:r>
              <w:rPr>
                <w:b w:val="0"/>
                <w:i w:val="0"/>
                <w:sz w:val="17"/>
              </w:rPr>
              <w:t>Checking the physician's own prescription is more important; one or two safe alternatives with justification when there is a problem.</w:t>
            </w:r>
          </w:p>
        </w:tc>
        <w:tc>
          <w:tcPr>
            <w:tcW w:type="dxa" w:w="2721"/>
          </w:tcPr>
          <w:p>
            <w:pPr>
              <w:spacing w:after="30" w:line="252" w:lineRule="auto"/>
            </w:pPr>
            <w:r>
              <w:rPr>
                <w:b w:val="0"/>
                <w:i w:val="0"/>
                <w:sz w:val="17"/>
              </w:rPr>
              <w:t>The system checks; alternatives are optional and never applied automatically.</w:t>
            </w:r>
          </w:p>
        </w:tc>
        <w:tc>
          <w:tcPr>
            <w:tcW w:type="dxa" w:w="1531"/>
          </w:tcPr>
          <w:p>
            <w:pPr>
              <w:spacing w:after="30" w:line="252" w:lineRule="auto"/>
            </w:pPr>
            <w:r>
              <w:rPr>
                <w:b w:val="0"/>
                <w:i w:val="0"/>
                <w:sz w:val="17"/>
              </w:rPr>
              <w:t>FR-21, FR-30</w:t>
            </w:r>
          </w:p>
        </w:tc>
      </w:tr>
      <w:tr>
        <w:trPr>
          <w:cantSplit w:val="true"/>
        </w:trPr>
        <w:tc>
          <w:tcPr>
            <w:tcW w:type="dxa" w:w="510"/>
            <w:shd w:val="clear" w:color="auto" w:fill="F4F1F2"/>
          </w:tcPr>
          <w:p>
            <w:pPr>
              <w:spacing w:after="30" w:line="252" w:lineRule="auto"/>
            </w:pPr>
            <w:r>
              <w:rPr>
                <w:b w:val="0"/>
                <w:i w:val="0"/>
                <w:sz w:val="17"/>
              </w:rPr>
              <w:t>Q12</w:t>
            </w:r>
          </w:p>
        </w:tc>
        <w:tc>
          <w:tcPr>
            <w:tcW w:type="dxa" w:w="1304"/>
            <w:shd w:val="clear" w:color="auto" w:fill="F4F1F2"/>
          </w:tcPr>
          <w:p>
            <w:pPr>
              <w:spacing w:after="30" w:line="252" w:lineRule="auto"/>
            </w:pPr>
            <w:r>
              <w:rPr>
                <w:b w:val="0"/>
                <w:i w:val="0"/>
                <w:sz w:val="17"/>
              </w:rPr>
              <w:t>Form of explanation</w:t>
            </w:r>
          </w:p>
        </w:tc>
        <w:tc>
          <w:tcPr>
            <w:tcW w:type="dxa" w:w="3572"/>
            <w:shd w:val="clear" w:color="auto" w:fill="F4F1F2"/>
          </w:tcPr>
          <w:p>
            <w:pPr>
              <w:spacing w:after="30" w:line="252" w:lineRule="auto"/>
            </w:pPr>
            <w:r>
              <w:rPr>
                <w:b w:val="0"/>
                <w:i w:val="0"/>
                <w:sz w:val="17"/>
              </w:rPr>
              <w:t>One line: level in colour, the two conflicting drugs and the mechanism, a source link, an action (stop, replace, monitor); one screen without scrolling; an accept-risk button with a short comment.</w:t>
            </w:r>
          </w:p>
        </w:tc>
        <w:tc>
          <w:tcPr>
            <w:tcW w:type="dxa" w:w="2721"/>
            <w:shd w:val="clear" w:color="auto" w:fill="F4F1F2"/>
          </w:tcPr>
          <w:p>
            <w:pPr>
              <w:spacing w:after="30" w:line="252" w:lineRule="auto"/>
            </w:pPr>
            <w:r>
              <w:rPr>
                <w:b w:val="0"/>
                <w:i w:val="0"/>
                <w:sz w:val="17"/>
              </w:rPr>
              <w:t>Explanation format and accept-risk function as specified.</w:t>
            </w:r>
          </w:p>
        </w:tc>
        <w:tc>
          <w:tcPr>
            <w:tcW w:type="dxa" w:w="1531"/>
            <w:shd w:val="clear" w:color="auto" w:fill="F4F1F2"/>
          </w:tcPr>
          <w:p>
            <w:pPr>
              <w:spacing w:after="30" w:line="252" w:lineRule="auto"/>
            </w:pPr>
            <w:r>
              <w:rPr>
                <w:b w:val="0"/>
                <w:i w:val="0"/>
                <w:sz w:val="17"/>
              </w:rPr>
              <w:t>FR-28, FR-29; NFR-11</w:t>
            </w:r>
          </w:p>
        </w:tc>
      </w:tr>
      <w:tr>
        <w:trPr>
          <w:cantSplit w:val="true"/>
        </w:trPr>
        <w:tc>
          <w:tcPr>
            <w:tcW w:type="dxa" w:w="510"/>
          </w:tcPr>
          <w:p>
            <w:pPr>
              <w:spacing w:after="30" w:line="252" w:lineRule="auto"/>
            </w:pPr>
            <w:r>
              <w:rPr>
                <w:b w:val="0"/>
                <w:i w:val="0"/>
                <w:sz w:val="17"/>
              </w:rPr>
              <w:t>Q13</w:t>
            </w:r>
          </w:p>
        </w:tc>
        <w:tc>
          <w:tcPr>
            <w:tcW w:type="dxa" w:w="1304"/>
          </w:tcPr>
          <w:p>
            <w:pPr>
              <w:spacing w:after="30" w:line="252" w:lineRule="auto"/>
            </w:pPr>
            <w:r>
              <w:rPr>
                <w:b w:val="0"/>
                <w:i w:val="0"/>
                <w:sz w:val="17"/>
              </w:rPr>
              <w:t>Place of work</w:t>
            </w:r>
          </w:p>
        </w:tc>
        <w:tc>
          <w:tcPr>
            <w:tcW w:type="dxa" w:w="3572"/>
          </w:tcPr>
          <w:p>
            <w:pPr>
              <w:spacing w:after="30" w:line="252" w:lineRule="auto"/>
            </w:pPr>
            <w:r>
              <w:rPr>
                <w:b w:val="0"/>
                <w:i w:val="0"/>
                <w:sz w:val="17"/>
              </w:rPr>
              <w:t>Ideally inside the clinic system; as a first step a web application where the drug list, diagnoses and allergies can be pasted or a discharge summary uploaded; the main work at an appointment is done on a computer.</w:t>
            </w:r>
          </w:p>
        </w:tc>
        <w:tc>
          <w:tcPr>
            <w:tcW w:type="dxa" w:w="2721"/>
          </w:tcPr>
          <w:p>
            <w:pPr>
              <w:spacing w:after="30" w:line="252" w:lineRule="auto"/>
            </w:pPr>
            <w:r>
              <w:rPr>
                <w:b w:val="0"/>
                <w:i w:val="0"/>
                <w:sz w:val="17"/>
              </w:rPr>
              <w:t>Web application for a desktop screen; quick entry by pasting text; later link to the clinic system.</w:t>
            </w:r>
          </w:p>
        </w:tc>
        <w:tc>
          <w:tcPr>
            <w:tcW w:type="dxa" w:w="1531"/>
          </w:tcPr>
          <w:p>
            <w:pPr>
              <w:spacing w:after="30" w:line="252" w:lineRule="auto"/>
            </w:pPr>
            <w:r>
              <w:rPr>
                <w:b w:val="0"/>
                <w:i w:val="0"/>
                <w:sz w:val="17"/>
              </w:rPr>
              <w:t>FR-16, FR-17; NFR-14, NFR-19</w:t>
            </w:r>
          </w:p>
        </w:tc>
      </w:tr>
      <w:tr>
        <w:trPr>
          <w:cantSplit w:val="true"/>
        </w:trPr>
        <w:tc>
          <w:tcPr>
            <w:tcW w:type="dxa" w:w="510"/>
            <w:shd w:val="clear" w:color="auto" w:fill="F4F1F2"/>
          </w:tcPr>
          <w:p>
            <w:pPr>
              <w:spacing w:after="30" w:line="252" w:lineRule="auto"/>
            </w:pPr>
            <w:r>
              <w:rPr>
                <w:b w:val="0"/>
                <w:i w:val="0"/>
                <w:sz w:val="17"/>
              </w:rPr>
              <w:t>Q14</w:t>
            </w:r>
          </w:p>
        </w:tc>
        <w:tc>
          <w:tcPr>
            <w:tcW w:type="dxa" w:w="1304"/>
            <w:shd w:val="clear" w:color="auto" w:fill="F4F1F2"/>
          </w:tcPr>
          <w:p>
            <w:pPr>
              <w:spacing w:after="30" w:line="252" w:lineRule="auto"/>
            </w:pPr>
            <w:r>
              <w:rPr>
                <w:b w:val="0"/>
                <w:i w:val="0"/>
                <w:sz w:val="17"/>
              </w:rPr>
              <w:t>Adherence</w:t>
            </w:r>
          </w:p>
        </w:tc>
        <w:tc>
          <w:tcPr>
            <w:tcW w:type="dxa" w:w="3572"/>
            <w:shd w:val="clear" w:color="auto" w:fill="F4F1F2"/>
          </w:tcPr>
          <w:p>
            <w:pPr>
              <w:spacing w:after="30" w:line="252" w:lineRule="auto"/>
            </w:pPr>
            <w:r>
              <w:rPr>
                <w:b w:val="0"/>
                <w:i w:val="0"/>
                <w:sz w:val="17"/>
              </w:rPr>
              <w:t>Students break the schedule constantly; a schedule with reminders suits them; older staff prefer a printout; a simple adherence indicator before follow-up is useful.</w:t>
            </w:r>
          </w:p>
        </w:tc>
        <w:tc>
          <w:tcPr>
            <w:tcW w:type="dxa" w:w="2721"/>
            <w:shd w:val="clear" w:color="auto" w:fill="F4F1F2"/>
          </w:tcPr>
          <w:p>
            <w:pPr>
              <w:spacing w:after="30" w:line="252" w:lineRule="auto"/>
            </w:pPr>
            <w:r>
              <w:rPr>
                <w:b w:val="0"/>
                <w:i w:val="0"/>
                <w:sz w:val="17"/>
              </w:rPr>
              <w:t>Schedule with PDF export, Telegram reminders, simple adherence indicator.</w:t>
            </w:r>
          </w:p>
        </w:tc>
        <w:tc>
          <w:tcPr>
            <w:tcW w:type="dxa" w:w="1531"/>
            <w:shd w:val="clear" w:color="auto" w:fill="F4F1F2"/>
          </w:tcPr>
          <w:p>
            <w:pPr>
              <w:spacing w:after="30" w:line="252" w:lineRule="auto"/>
            </w:pPr>
            <w:r>
              <w:rPr>
                <w:b w:val="0"/>
                <w:i w:val="0"/>
                <w:sz w:val="17"/>
              </w:rPr>
              <w:t>FR-33, FR-34, FR-36, FR-38</w:t>
            </w:r>
          </w:p>
        </w:tc>
      </w:tr>
      <w:tr>
        <w:trPr>
          <w:cantSplit w:val="true"/>
        </w:trPr>
        <w:tc>
          <w:tcPr>
            <w:tcW w:type="dxa" w:w="510"/>
          </w:tcPr>
          <w:p>
            <w:pPr>
              <w:spacing w:after="30" w:line="252" w:lineRule="auto"/>
            </w:pPr>
            <w:r>
              <w:rPr>
                <w:b w:val="0"/>
                <w:i w:val="0"/>
                <w:sz w:val="17"/>
              </w:rPr>
              <w:t>Q15</w:t>
            </w:r>
          </w:p>
        </w:tc>
        <w:tc>
          <w:tcPr>
            <w:tcW w:type="dxa" w:w="1304"/>
          </w:tcPr>
          <w:p>
            <w:pPr>
              <w:spacing w:after="30" w:line="252" w:lineRule="auto"/>
            </w:pPr>
            <w:r>
              <w:rPr>
                <w:b w:val="0"/>
                <w:i w:val="0"/>
                <w:sz w:val="17"/>
              </w:rPr>
              <w:t>Must-have and stop factors</w:t>
            </w:r>
          </w:p>
        </w:tc>
        <w:tc>
          <w:tcPr>
            <w:tcW w:type="dxa" w:w="3572"/>
          </w:tcPr>
          <w:p>
            <w:pPr>
              <w:spacing w:after="30" w:line="252" w:lineRule="auto"/>
            </w:pPr>
            <w:r>
              <w:rPr>
                <w:b w:val="0"/>
                <w:i w:val="0"/>
                <w:sz w:val="17"/>
              </w:rPr>
              <w:t>Must: drugs sold in Kazakhstan with Russian brand names, quick entry, explained warnings with source, speed, allergies and chronic conditions. Stop: retyping data, many false alarms, unclear responsibility, data leaving the clinic.</w:t>
            </w:r>
          </w:p>
        </w:tc>
        <w:tc>
          <w:tcPr>
            <w:tcW w:type="dxa" w:w="2721"/>
          </w:tcPr>
          <w:p>
            <w:pPr>
              <w:spacing w:after="30" w:line="252" w:lineRule="auto"/>
            </w:pPr>
            <w:r>
              <w:rPr>
                <w:b w:val="0"/>
                <w:i w:val="0"/>
                <w:sz w:val="17"/>
              </w:rPr>
              <w:t>Local brand names, no double entry, explained alerts, local processing of data, clear statement of responsibility.</w:t>
            </w:r>
          </w:p>
        </w:tc>
        <w:tc>
          <w:tcPr>
            <w:tcW w:type="dxa" w:w="1531"/>
          </w:tcPr>
          <w:p>
            <w:pPr>
              <w:spacing w:after="30" w:line="252" w:lineRule="auto"/>
            </w:pPr>
            <w:r>
              <w:rPr>
                <w:b w:val="0"/>
                <w:i w:val="0"/>
                <w:sz w:val="17"/>
              </w:rPr>
              <w:t>FR-19, FR-20, FR-28; NFR-05, NFR-08</w:t>
            </w:r>
          </w:p>
        </w:tc>
      </w:tr>
    </w:tbl>
    <w:p>
      <w:pPr>
        <w:spacing w:after="40"/>
      </w:pPr>
    </w:p>
    <w:p>
      <w:pPr>
        <w:pStyle w:val="Heading2"/>
      </w:pPr>
      <w:r>
        <w:t>2.5 Verified findings versus assumptions</w:t>
      </w:r>
    </w:p>
    <w:p>
      <w:pPr>
        <w:keepNext/>
        <w:spacing w:before="160" w:after="60"/>
      </w:pPr>
      <w:r>
        <w:rPr>
          <w:i/>
          <w:color w:val="4A4650"/>
          <w:sz w:val="19"/>
        </w:rPr>
        <w:t>Table 2.4. Status of the statements that drive the requirements</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567"/>
        <w:gridCol w:w="3969"/>
        <w:gridCol w:w="1361"/>
        <w:gridCol w:w="2211"/>
        <w:gridCol w:w="1531"/>
      </w:tblGrid>
      <w:tr>
        <w:trPr>
          <w:tblHeader w:val="true"/>
        </w:trPr>
        <w:tc>
          <w:tcPr>
            <w:tcW w:type="dxa" w:w="567"/>
            <w:shd w:val="clear" w:color="auto" w:fill="6B1E3A"/>
          </w:tcPr>
          <w:p>
            <w:pPr>
              <w:spacing w:after="0"/>
            </w:pPr>
            <w:r>
              <w:rPr>
                <w:b/>
                <w:color w:val="FFFFFF"/>
                <w:sz w:val="17"/>
              </w:rPr>
              <w:t>ID</w:t>
            </w:r>
          </w:p>
        </w:tc>
        <w:tc>
          <w:tcPr>
            <w:tcW w:type="dxa" w:w="3969"/>
            <w:shd w:val="clear" w:color="auto" w:fill="6B1E3A"/>
          </w:tcPr>
          <w:p>
            <w:pPr>
              <w:spacing w:after="0"/>
            </w:pPr>
            <w:r>
              <w:rPr>
                <w:b/>
                <w:color w:val="FFFFFF"/>
                <w:sz w:val="17"/>
              </w:rPr>
              <w:t>Statement</w:t>
            </w:r>
          </w:p>
        </w:tc>
        <w:tc>
          <w:tcPr>
            <w:tcW w:type="dxa" w:w="1361"/>
            <w:shd w:val="clear" w:color="auto" w:fill="6B1E3A"/>
          </w:tcPr>
          <w:p>
            <w:pPr>
              <w:spacing w:after="0"/>
            </w:pPr>
            <w:r>
              <w:rPr>
                <w:b/>
                <w:color w:val="FFFFFF"/>
                <w:sz w:val="17"/>
              </w:rPr>
              <w:t>Status</w:t>
            </w:r>
          </w:p>
        </w:tc>
        <w:tc>
          <w:tcPr>
            <w:tcW w:type="dxa" w:w="2211"/>
            <w:shd w:val="clear" w:color="auto" w:fill="6B1E3A"/>
          </w:tcPr>
          <w:p>
            <w:pPr>
              <w:spacing w:after="0"/>
            </w:pPr>
            <w:r>
              <w:rPr>
                <w:b/>
                <w:color w:val="FFFFFF"/>
                <w:sz w:val="17"/>
              </w:rPr>
              <w:t>Basis</w:t>
            </w:r>
          </w:p>
        </w:tc>
        <w:tc>
          <w:tcPr>
            <w:tcW w:type="dxa" w:w="1531"/>
            <w:shd w:val="clear" w:color="auto" w:fill="6B1E3A"/>
          </w:tcPr>
          <w:p>
            <w:pPr>
              <w:spacing w:after="0"/>
            </w:pPr>
            <w:r>
              <w:rPr>
                <w:b/>
                <w:color w:val="FFFFFF"/>
                <w:sz w:val="17"/>
              </w:rPr>
              <w:t>Affects</w:t>
            </w:r>
          </w:p>
        </w:tc>
      </w:tr>
      <w:tr>
        <w:trPr>
          <w:cantSplit w:val="true"/>
        </w:trPr>
        <w:tc>
          <w:tcPr>
            <w:tcW w:type="dxa" w:w="567"/>
          </w:tcPr>
          <w:p>
            <w:pPr>
              <w:spacing w:after="30" w:line="252" w:lineRule="auto"/>
            </w:pPr>
            <w:r>
              <w:rPr>
                <w:b w:val="0"/>
                <w:i w:val="0"/>
                <w:sz w:val="17"/>
              </w:rPr>
              <w:t>V1</w:t>
            </w:r>
          </w:p>
        </w:tc>
        <w:tc>
          <w:tcPr>
            <w:tcW w:type="dxa" w:w="3969"/>
          </w:tcPr>
          <w:p>
            <w:pPr>
              <w:spacing w:after="30" w:line="252" w:lineRule="auto"/>
            </w:pPr>
            <w:r>
              <w:rPr>
                <w:b w:val="0"/>
                <w:i w:val="0"/>
                <w:sz w:val="17"/>
              </w:rPr>
              <w:t>Medication errors and adverse drug events are a major, costly and preventable source of harm.</w:t>
            </w:r>
          </w:p>
        </w:tc>
        <w:tc>
          <w:tcPr>
            <w:tcW w:type="dxa" w:w="1361"/>
          </w:tcPr>
          <w:p>
            <w:pPr>
              <w:spacing w:after="30" w:line="252" w:lineRule="auto"/>
            </w:pPr>
            <w:r>
              <w:rPr>
                <w:b w:val="0"/>
                <w:i w:val="0"/>
                <w:sz w:val="17"/>
              </w:rPr>
              <w:t>Verified</w:t>
            </w:r>
          </w:p>
        </w:tc>
        <w:tc>
          <w:tcPr>
            <w:tcW w:type="dxa" w:w="2211"/>
          </w:tcPr>
          <w:p>
            <w:pPr>
              <w:spacing w:after="30" w:line="252" w:lineRule="auto"/>
            </w:pPr>
            <w:r>
              <w:rPr>
                <w:b w:val="0"/>
                <w:i w:val="0"/>
                <w:sz w:val="17"/>
              </w:rPr>
              <w:t>Table 2.1</w:t>
            </w:r>
          </w:p>
        </w:tc>
        <w:tc>
          <w:tcPr>
            <w:tcW w:type="dxa" w:w="1531"/>
          </w:tcPr>
          <w:p>
            <w:pPr>
              <w:spacing w:after="30" w:line="252" w:lineRule="auto"/>
            </w:pPr>
            <w:r>
              <w:rPr>
                <w:b w:val="0"/>
                <w:i w:val="0"/>
                <w:sz w:val="17"/>
              </w:rPr>
              <w:t>Aim</w:t>
            </w:r>
          </w:p>
        </w:tc>
      </w:tr>
      <w:tr>
        <w:trPr>
          <w:cantSplit w:val="true"/>
        </w:trPr>
        <w:tc>
          <w:tcPr>
            <w:tcW w:type="dxa" w:w="567"/>
            <w:shd w:val="clear" w:color="auto" w:fill="F4F1F2"/>
          </w:tcPr>
          <w:p>
            <w:pPr>
              <w:spacing w:after="30" w:line="252" w:lineRule="auto"/>
            </w:pPr>
            <w:r>
              <w:rPr>
                <w:b w:val="0"/>
                <w:i w:val="0"/>
                <w:sz w:val="17"/>
              </w:rPr>
              <w:t>V2</w:t>
            </w:r>
          </w:p>
        </w:tc>
        <w:tc>
          <w:tcPr>
            <w:tcW w:type="dxa" w:w="3969"/>
            <w:shd w:val="clear" w:color="auto" w:fill="F4F1F2"/>
          </w:tcPr>
          <w:p>
            <w:pPr>
              <w:spacing w:after="30" w:line="252" w:lineRule="auto"/>
            </w:pPr>
            <w:r>
              <w:rPr>
                <w:b w:val="0"/>
                <w:i w:val="0"/>
                <w:sz w:val="17"/>
              </w:rPr>
              <w:t>Interaction alerts are frequently overridden; irrelevant alerts cause alert fatigue.</w:t>
            </w:r>
          </w:p>
        </w:tc>
        <w:tc>
          <w:tcPr>
            <w:tcW w:type="dxa" w:w="1361"/>
            <w:shd w:val="clear" w:color="auto" w:fill="F4F1F2"/>
          </w:tcPr>
          <w:p>
            <w:pPr>
              <w:spacing w:after="30" w:line="252" w:lineRule="auto"/>
            </w:pPr>
            <w:r>
              <w:rPr>
                <w:b w:val="0"/>
                <w:i w:val="0"/>
                <w:sz w:val="17"/>
              </w:rPr>
              <w:t>Verified</w:t>
            </w:r>
          </w:p>
        </w:tc>
        <w:tc>
          <w:tcPr>
            <w:tcW w:type="dxa" w:w="2211"/>
            <w:shd w:val="clear" w:color="auto" w:fill="F4F1F2"/>
          </w:tcPr>
          <w:p>
            <w:pPr>
              <w:spacing w:after="30" w:line="252" w:lineRule="auto"/>
            </w:pPr>
            <w:r>
              <w:rPr>
                <w:b w:val="0"/>
                <w:i w:val="0"/>
                <w:sz w:val="17"/>
              </w:rPr>
              <w:t>Table 2.1</w:t>
            </w:r>
          </w:p>
        </w:tc>
        <w:tc>
          <w:tcPr>
            <w:tcW w:type="dxa" w:w="1531"/>
            <w:shd w:val="clear" w:color="auto" w:fill="F4F1F2"/>
          </w:tcPr>
          <w:p>
            <w:pPr>
              <w:spacing w:after="30" w:line="252" w:lineRule="auto"/>
            </w:pPr>
            <w:r>
              <w:rPr>
                <w:b w:val="0"/>
                <w:i w:val="0"/>
                <w:sz w:val="17"/>
              </w:rPr>
              <w:t>FR-27</w:t>
            </w:r>
          </w:p>
        </w:tc>
      </w:tr>
      <w:tr>
        <w:trPr>
          <w:cantSplit w:val="true"/>
        </w:trPr>
        <w:tc>
          <w:tcPr>
            <w:tcW w:type="dxa" w:w="567"/>
          </w:tcPr>
          <w:p>
            <w:pPr>
              <w:spacing w:after="30" w:line="252" w:lineRule="auto"/>
            </w:pPr>
            <w:r>
              <w:rPr>
                <w:b w:val="0"/>
                <w:i w:val="0"/>
                <w:sz w:val="17"/>
              </w:rPr>
              <w:t>V3</w:t>
            </w:r>
          </w:p>
        </w:tc>
        <w:tc>
          <w:tcPr>
            <w:tcW w:type="dxa" w:w="3969"/>
          </w:tcPr>
          <w:p>
            <w:pPr>
              <w:spacing w:after="30" w:line="252" w:lineRule="auto"/>
            </w:pPr>
            <w:r>
              <w:rPr>
                <w:b w:val="0"/>
                <w:i w:val="0"/>
                <w:sz w:val="17"/>
              </w:rPr>
              <w:t>Interaction knowledge bases disagree with each other.</w:t>
            </w:r>
          </w:p>
        </w:tc>
        <w:tc>
          <w:tcPr>
            <w:tcW w:type="dxa" w:w="1361"/>
          </w:tcPr>
          <w:p>
            <w:pPr>
              <w:spacing w:after="30" w:line="252" w:lineRule="auto"/>
            </w:pPr>
            <w:r>
              <w:rPr>
                <w:b w:val="0"/>
                <w:i w:val="0"/>
                <w:sz w:val="17"/>
              </w:rPr>
              <w:t>Verified</w:t>
            </w:r>
          </w:p>
        </w:tc>
        <w:tc>
          <w:tcPr>
            <w:tcW w:type="dxa" w:w="2211"/>
          </w:tcPr>
          <w:p>
            <w:pPr>
              <w:spacing w:after="30" w:line="252" w:lineRule="auto"/>
            </w:pPr>
            <w:r>
              <w:rPr>
                <w:b w:val="0"/>
                <w:i w:val="0"/>
                <w:sz w:val="17"/>
              </w:rPr>
              <w:t>Table 2.1</w:t>
            </w:r>
          </w:p>
        </w:tc>
        <w:tc>
          <w:tcPr>
            <w:tcW w:type="dxa" w:w="1531"/>
          </w:tcPr>
          <w:p>
            <w:pPr>
              <w:spacing w:after="30" w:line="252" w:lineRule="auto"/>
            </w:pPr>
            <w:r>
              <w:rPr>
                <w:b w:val="0"/>
                <w:i w:val="0"/>
                <w:sz w:val="17"/>
              </w:rPr>
              <w:t>Versioned rule base</w:t>
            </w:r>
          </w:p>
        </w:tc>
      </w:tr>
      <w:tr>
        <w:trPr>
          <w:cantSplit w:val="true"/>
        </w:trPr>
        <w:tc>
          <w:tcPr>
            <w:tcW w:type="dxa" w:w="567"/>
            <w:shd w:val="clear" w:color="auto" w:fill="F4F1F2"/>
          </w:tcPr>
          <w:p>
            <w:pPr>
              <w:spacing w:after="30" w:line="252" w:lineRule="auto"/>
            </w:pPr>
            <w:r>
              <w:rPr>
                <w:b w:val="0"/>
                <w:i w:val="0"/>
                <w:sz w:val="17"/>
              </w:rPr>
              <w:t>V4</w:t>
            </w:r>
          </w:p>
        </w:tc>
        <w:tc>
          <w:tcPr>
            <w:tcW w:type="dxa" w:w="3969"/>
            <w:shd w:val="clear" w:color="auto" w:fill="F4F1F2"/>
          </w:tcPr>
          <w:p>
            <w:pPr>
              <w:spacing w:after="30" w:line="252" w:lineRule="auto"/>
            </w:pPr>
            <w:r>
              <w:rPr>
                <w:b w:val="0"/>
                <w:i w:val="0"/>
                <w:sz w:val="17"/>
              </w:rPr>
              <w:t>Language models can produce unsupported medical statements; retrieval improves grounding.</w:t>
            </w:r>
          </w:p>
        </w:tc>
        <w:tc>
          <w:tcPr>
            <w:tcW w:type="dxa" w:w="1361"/>
            <w:shd w:val="clear" w:color="auto" w:fill="F4F1F2"/>
          </w:tcPr>
          <w:p>
            <w:pPr>
              <w:spacing w:after="30" w:line="252" w:lineRule="auto"/>
            </w:pPr>
            <w:r>
              <w:rPr>
                <w:b w:val="0"/>
                <w:i w:val="0"/>
                <w:sz w:val="17"/>
              </w:rPr>
              <w:t>Verified</w:t>
            </w:r>
          </w:p>
        </w:tc>
        <w:tc>
          <w:tcPr>
            <w:tcW w:type="dxa" w:w="2211"/>
            <w:shd w:val="clear" w:color="auto" w:fill="F4F1F2"/>
          </w:tcPr>
          <w:p>
            <w:pPr>
              <w:spacing w:after="30" w:line="252" w:lineRule="auto"/>
            </w:pPr>
            <w:r>
              <w:rPr>
                <w:b w:val="0"/>
                <w:i w:val="0"/>
                <w:sz w:val="17"/>
              </w:rPr>
              <w:t>Table 2.1</w:t>
            </w:r>
          </w:p>
        </w:tc>
        <w:tc>
          <w:tcPr>
            <w:tcW w:type="dxa" w:w="1531"/>
            <w:shd w:val="clear" w:color="auto" w:fill="F4F1F2"/>
          </w:tcPr>
          <w:p>
            <w:pPr>
              <w:spacing w:after="30" w:line="252" w:lineRule="auto"/>
            </w:pPr>
            <w:r>
              <w:rPr>
                <w:b w:val="0"/>
                <w:i w:val="0"/>
                <w:sz w:val="17"/>
              </w:rPr>
              <w:t>FR-32; NFR-03</w:t>
            </w:r>
          </w:p>
        </w:tc>
      </w:tr>
      <w:tr>
        <w:trPr>
          <w:cantSplit w:val="true"/>
        </w:trPr>
        <w:tc>
          <w:tcPr>
            <w:tcW w:type="dxa" w:w="567"/>
          </w:tcPr>
          <w:p>
            <w:pPr>
              <w:spacing w:after="30" w:line="252" w:lineRule="auto"/>
            </w:pPr>
            <w:r>
              <w:rPr>
                <w:b w:val="0"/>
                <w:i w:val="0"/>
                <w:sz w:val="17"/>
              </w:rPr>
              <w:t>V5</w:t>
            </w:r>
          </w:p>
        </w:tc>
        <w:tc>
          <w:tcPr>
            <w:tcW w:type="dxa" w:w="3969"/>
          </w:tcPr>
          <w:p>
            <w:pPr>
              <w:spacing w:after="30" w:line="252" w:lineRule="auto"/>
            </w:pPr>
            <w:r>
              <w:rPr>
                <w:b w:val="0"/>
                <w:i w:val="0"/>
                <w:sz w:val="17"/>
              </w:rPr>
              <w:t>Reminder apps can improve medication adherence.</w:t>
            </w:r>
          </w:p>
        </w:tc>
        <w:tc>
          <w:tcPr>
            <w:tcW w:type="dxa" w:w="1361"/>
          </w:tcPr>
          <w:p>
            <w:pPr>
              <w:spacing w:after="30" w:line="252" w:lineRule="auto"/>
            </w:pPr>
            <w:r>
              <w:rPr>
                <w:b w:val="0"/>
                <w:i w:val="0"/>
                <w:sz w:val="17"/>
              </w:rPr>
              <w:t>Verified</w:t>
            </w:r>
          </w:p>
        </w:tc>
        <w:tc>
          <w:tcPr>
            <w:tcW w:type="dxa" w:w="2211"/>
          </w:tcPr>
          <w:p>
            <w:pPr>
              <w:spacing w:after="30" w:line="252" w:lineRule="auto"/>
            </w:pPr>
            <w:r>
              <w:rPr>
                <w:b w:val="0"/>
                <w:i w:val="0"/>
                <w:sz w:val="17"/>
              </w:rPr>
              <w:t>Table 2.1</w:t>
            </w:r>
          </w:p>
        </w:tc>
        <w:tc>
          <w:tcPr>
            <w:tcW w:type="dxa" w:w="1531"/>
          </w:tcPr>
          <w:p>
            <w:pPr>
              <w:spacing w:after="30" w:line="252" w:lineRule="auto"/>
            </w:pPr>
            <w:r>
              <w:rPr>
                <w:b w:val="0"/>
                <w:i w:val="0"/>
                <w:sz w:val="17"/>
              </w:rPr>
              <w:t>FR-33, FR-36</w:t>
            </w:r>
          </w:p>
        </w:tc>
      </w:tr>
      <w:tr>
        <w:trPr>
          <w:cantSplit w:val="true"/>
        </w:trPr>
        <w:tc>
          <w:tcPr>
            <w:tcW w:type="dxa" w:w="567"/>
            <w:shd w:val="clear" w:color="auto" w:fill="F4F1F2"/>
          </w:tcPr>
          <w:p>
            <w:pPr>
              <w:spacing w:after="30" w:line="252" w:lineRule="auto"/>
            </w:pPr>
            <w:r>
              <w:rPr>
                <w:b w:val="0"/>
                <w:i w:val="0"/>
                <w:sz w:val="17"/>
              </w:rPr>
              <w:t>S1</w:t>
            </w:r>
          </w:p>
        </w:tc>
        <w:tc>
          <w:tcPr>
            <w:tcW w:type="dxa" w:w="3969"/>
            <w:shd w:val="clear" w:color="auto" w:fill="F4F1F2"/>
          </w:tcPr>
          <w:p>
            <w:pPr>
              <w:spacing w:after="30" w:line="252" w:lineRule="auto"/>
            </w:pPr>
            <w:r>
              <w:rPr>
                <w:b w:val="0"/>
                <w:i w:val="0"/>
                <w:sz w:val="17"/>
              </w:rPr>
              <w:t>A physician at the university clinic checks interactions manually or with foreign web tools, and the clinic system has no automatic check (formerly A1, A6).</w:t>
            </w:r>
          </w:p>
        </w:tc>
        <w:tc>
          <w:tcPr>
            <w:tcW w:type="dxa" w:w="1361"/>
            <w:shd w:val="clear" w:color="auto" w:fill="F4F1F2"/>
          </w:tcPr>
          <w:p>
            <w:pPr>
              <w:spacing w:after="30" w:line="252" w:lineRule="auto"/>
            </w:pPr>
            <w:r>
              <w:rPr>
                <w:b w:val="0"/>
                <w:i w:val="0"/>
                <w:sz w:val="17"/>
              </w:rPr>
              <w:t>Supported by P1</w:t>
            </w:r>
          </w:p>
        </w:tc>
        <w:tc>
          <w:tcPr>
            <w:tcW w:type="dxa" w:w="2211"/>
            <w:shd w:val="clear" w:color="auto" w:fill="F4F1F2"/>
          </w:tcPr>
          <w:p>
            <w:pPr>
              <w:spacing w:after="30" w:line="252" w:lineRule="auto"/>
            </w:pPr>
            <w:r>
              <w:rPr>
                <w:b w:val="0"/>
                <w:i w:val="0"/>
                <w:sz w:val="17"/>
              </w:rPr>
              <w:t>Q3, Q10</w:t>
            </w:r>
          </w:p>
        </w:tc>
        <w:tc>
          <w:tcPr>
            <w:tcW w:type="dxa" w:w="1531"/>
            <w:shd w:val="clear" w:color="auto" w:fill="F4F1F2"/>
          </w:tcPr>
          <w:p>
            <w:pPr>
              <w:spacing w:after="30" w:line="252" w:lineRule="auto"/>
            </w:pPr>
            <w:r>
              <w:rPr>
                <w:b w:val="0"/>
                <w:i w:val="0"/>
                <w:sz w:val="17"/>
              </w:rPr>
              <w:t>Problem statement</w:t>
            </w:r>
          </w:p>
        </w:tc>
      </w:tr>
      <w:tr>
        <w:trPr>
          <w:cantSplit w:val="true"/>
        </w:trPr>
        <w:tc>
          <w:tcPr>
            <w:tcW w:type="dxa" w:w="567"/>
          </w:tcPr>
          <w:p>
            <w:pPr>
              <w:spacing w:after="30" w:line="252" w:lineRule="auto"/>
            </w:pPr>
            <w:r>
              <w:rPr>
                <w:b w:val="0"/>
                <w:i w:val="0"/>
                <w:sz w:val="17"/>
              </w:rPr>
              <w:t>S2</w:t>
            </w:r>
          </w:p>
        </w:tc>
        <w:tc>
          <w:tcPr>
            <w:tcW w:type="dxa" w:w="3969"/>
          </w:tcPr>
          <w:p>
            <w:pPr>
              <w:spacing w:after="30" w:line="252" w:lineRule="auto"/>
            </w:pPr>
            <w:r>
              <w:rPr>
                <w:b w:val="0"/>
                <w:i w:val="0"/>
                <w:sz w:val="17"/>
              </w:rPr>
              <w:t>Allergies and current drugs are incomplete in the clinic record and partly free text (formerly A2).</w:t>
            </w:r>
          </w:p>
        </w:tc>
        <w:tc>
          <w:tcPr>
            <w:tcW w:type="dxa" w:w="1361"/>
          </w:tcPr>
          <w:p>
            <w:pPr>
              <w:spacing w:after="30" w:line="252" w:lineRule="auto"/>
            </w:pPr>
            <w:r>
              <w:rPr>
                <w:b w:val="0"/>
                <w:i w:val="0"/>
                <w:sz w:val="17"/>
              </w:rPr>
              <w:t>Supported by P1</w:t>
            </w:r>
          </w:p>
        </w:tc>
        <w:tc>
          <w:tcPr>
            <w:tcW w:type="dxa" w:w="2211"/>
          </w:tcPr>
          <w:p>
            <w:pPr>
              <w:spacing w:after="30" w:line="252" w:lineRule="auto"/>
            </w:pPr>
            <w:r>
              <w:rPr>
                <w:b w:val="0"/>
                <w:i w:val="0"/>
                <w:sz w:val="17"/>
              </w:rPr>
              <w:t>Q5, Q7, Q8</w:t>
            </w:r>
          </w:p>
        </w:tc>
        <w:tc>
          <w:tcPr>
            <w:tcW w:type="dxa" w:w="1531"/>
          </w:tcPr>
          <w:p>
            <w:pPr>
              <w:spacing w:after="30" w:line="252" w:lineRule="auto"/>
            </w:pPr>
            <w:r>
              <w:rPr>
                <w:b w:val="0"/>
                <w:i w:val="0"/>
                <w:sz w:val="17"/>
              </w:rPr>
              <w:t>FR-05, FR-17</w:t>
            </w:r>
          </w:p>
        </w:tc>
      </w:tr>
      <w:tr>
        <w:trPr>
          <w:cantSplit w:val="true"/>
        </w:trPr>
        <w:tc>
          <w:tcPr>
            <w:tcW w:type="dxa" w:w="567"/>
            <w:shd w:val="clear" w:color="auto" w:fill="F4F1F2"/>
          </w:tcPr>
          <w:p>
            <w:pPr>
              <w:spacing w:after="30" w:line="252" w:lineRule="auto"/>
            </w:pPr>
            <w:r>
              <w:rPr>
                <w:b w:val="0"/>
                <w:i w:val="0"/>
                <w:sz w:val="17"/>
              </w:rPr>
              <w:t>S3</w:t>
            </w:r>
          </w:p>
        </w:tc>
        <w:tc>
          <w:tcPr>
            <w:tcW w:type="dxa" w:w="3969"/>
            <w:shd w:val="clear" w:color="auto" w:fill="F4F1F2"/>
          </w:tcPr>
          <w:p>
            <w:pPr>
              <w:spacing w:after="30" w:line="252" w:lineRule="auto"/>
            </w:pPr>
            <w:r>
              <w:rPr>
                <w:b w:val="0"/>
                <w:i w:val="0"/>
                <w:sz w:val="17"/>
              </w:rPr>
              <w:t>A physician needs the reason and source of a warning to trust it (formerly A3).</w:t>
            </w:r>
          </w:p>
        </w:tc>
        <w:tc>
          <w:tcPr>
            <w:tcW w:type="dxa" w:w="1361"/>
            <w:shd w:val="clear" w:color="auto" w:fill="F4F1F2"/>
          </w:tcPr>
          <w:p>
            <w:pPr>
              <w:spacing w:after="30" w:line="252" w:lineRule="auto"/>
            </w:pPr>
            <w:r>
              <w:rPr>
                <w:b w:val="0"/>
                <w:i w:val="0"/>
                <w:sz w:val="17"/>
              </w:rPr>
              <w:t>Supported by P1</w:t>
            </w:r>
          </w:p>
        </w:tc>
        <w:tc>
          <w:tcPr>
            <w:tcW w:type="dxa" w:w="2211"/>
            <w:shd w:val="clear" w:color="auto" w:fill="F4F1F2"/>
          </w:tcPr>
          <w:p>
            <w:pPr>
              <w:spacing w:after="30" w:line="252" w:lineRule="auto"/>
            </w:pPr>
            <w:r>
              <w:rPr>
                <w:b w:val="0"/>
                <w:i w:val="0"/>
                <w:sz w:val="17"/>
              </w:rPr>
              <w:t>Q9, Q12, Q15</w:t>
            </w:r>
          </w:p>
        </w:tc>
        <w:tc>
          <w:tcPr>
            <w:tcW w:type="dxa" w:w="1531"/>
            <w:shd w:val="clear" w:color="auto" w:fill="F4F1F2"/>
          </w:tcPr>
          <w:p>
            <w:pPr>
              <w:spacing w:after="30" w:line="252" w:lineRule="auto"/>
            </w:pPr>
            <w:r>
              <w:rPr>
                <w:b w:val="0"/>
                <w:i w:val="0"/>
                <w:sz w:val="17"/>
              </w:rPr>
              <w:t>FR-28</w:t>
            </w:r>
          </w:p>
        </w:tc>
      </w:tr>
      <w:tr>
        <w:trPr>
          <w:cantSplit w:val="true"/>
        </w:trPr>
        <w:tc>
          <w:tcPr>
            <w:tcW w:type="dxa" w:w="567"/>
          </w:tcPr>
          <w:p>
            <w:pPr>
              <w:spacing w:after="30" w:line="252" w:lineRule="auto"/>
            </w:pPr>
            <w:r>
              <w:rPr>
                <w:b w:val="0"/>
                <w:i w:val="0"/>
                <w:sz w:val="17"/>
              </w:rPr>
              <w:t>S4</w:t>
            </w:r>
          </w:p>
        </w:tc>
        <w:tc>
          <w:tcPr>
            <w:tcW w:type="dxa" w:w="3969"/>
          </w:tcPr>
          <w:p>
            <w:pPr>
              <w:spacing w:after="30" w:line="252" w:lineRule="auto"/>
            </w:pPr>
            <w:r>
              <w:rPr>
                <w:b w:val="0"/>
                <w:i w:val="0"/>
                <w:sz w:val="17"/>
              </w:rPr>
              <w:t>Duplicate therapy and contraindication by diagnosis are more frequent in this population than true interactions.</w:t>
            </w:r>
          </w:p>
        </w:tc>
        <w:tc>
          <w:tcPr>
            <w:tcW w:type="dxa" w:w="1361"/>
          </w:tcPr>
          <w:p>
            <w:pPr>
              <w:spacing w:after="30" w:line="252" w:lineRule="auto"/>
            </w:pPr>
            <w:r>
              <w:rPr>
                <w:b w:val="0"/>
                <w:i w:val="0"/>
                <w:sz w:val="17"/>
              </w:rPr>
              <w:t>Supported by P1</w:t>
            </w:r>
          </w:p>
        </w:tc>
        <w:tc>
          <w:tcPr>
            <w:tcW w:type="dxa" w:w="2211"/>
          </w:tcPr>
          <w:p>
            <w:pPr>
              <w:spacing w:after="30" w:line="252" w:lineRule="auto"/>
            </w:pPr>
            <w:r>
              <w:rPr>
                <w:b w:val="0"/>
                <w:i w:val="0"/>
                <w:sz w:val="17"/>
              </w:rPr>
              <w:t>Q6</w:t>
            </w:r>
          </w:p>
        </w:tc>
        <w:tc>
          <w:tcPr>
            <w:tcW w:type="dxa" w:w="1531"/>
          </w:tcPr>
          <w:p>
            <w:pPr>
              <w:spacing w:after="30" w:line="252" w:lineRule="auto"/>
            </w:pPr>
            <w:r>
              <w:rPr>
                <w:b w:val="0"/>
                <w:i w:val="0"/>
                <w:sz w:val="17"/>
              </w:rPr>
              <w:t>FR-25, FR-24</w:t>
            </w:r>
          </w:p>
        </w:tc>
      </w:tr>
      <w:tr>
        <w:trPr>
          <w:cantSplit w:val="true"/>
        </w:trPr>
        <w:tc>
          <w:tcPr>
            <w:tcW w:type="dxa" w:w="567"/>
            <w:shd w:val="clear" w:color="auto" w:fill="F4F1F2"/>
          </w:tcPr>
          <w:p>
            <w:pPr>
              <w:spacing w:after="30" w:line="252" w:lineRule="auto"/>
            </w:pPr>
            <w:r>
              <w:rPr>
                <w:b w:val="0"/>
                <w:i w:val="0"/>
                <w:sz w:val="17"/>
              </w:rPr>
              <w:t>S5</w:t>
            </w:r>
          </w:p>
        </w:tc>
        <w:tc>
          <w:tcPr>
            <w:tcW w:type="dxa" w:w="3969"/>
            <w:shd w:val="clear" w:color="auto" w:fill="F4F1F2"/>
          </w:tcPr>
          <w:p>
            <w:pPr>
              <w:spacing w:after="30" w:line="252" w:lineRule="auto"/>
            </w:pPr>
            <w:r>
              <w:rPr>
                <w:b w:val="0"/>
                <w:i w:val="0"/>
                <w:sz w:val="17"/>
              </w:rPr>
              <w:t>A schedule with reminders is useful, especially for students (formerly A5).</w:t>
            </w:r>
          </w:p>
        </w:tc>
        <w:tc>
          <w:tcPr>
            <w:tcW w:type="dxa" w:w="1361"/>
            <w:shd w:val="clear" w:color="auto" w:fill="F4F1F2"/>
          </w:tcPr>
          <w:p>
            <w:pPr>
              <w:spacing w:after="30" w:line="252" w:lineRule="auto"/>
            </w:pPr>
            <w:r>
              <w:rPr>
                <w:b w:val="0"/>
                <w:i w:val="0"/>
                <w:sz w:val="17"/>
              </w:rPr>
              <w:t>Supported by P1</w:t>
            </w:r>
          </w:p>
        </w:tc>
        <w:tc>
          <w:tcPr>
            <w:tcW w:type="dxa" w:w="2211"/>
            <w:shd w:val="clear" w:color="auto" w:fill="F4F1F2"/>
          </w:tcPr>
          <w:p>
            <w:pPr>
              <w:spacing w:after="30" w:line="252" w:lineRule="auto"/>
            </w:pPr>
            <w:r>
              <w:rPr>
                <w:b w:val="0"/>
                <w:i w:val="0"/>
                <w:sz w:val="17"/>
              </w:rPr>
              <w:t>Q14</w:t>
            </w:r>
          </w:p>
        </w:tc>
        <w:tc>
          <w:tcPr>
            <w:tcW w:type="dxa" w:w="1531"/>
            <w:shd w:val="clear" w:color="auto" w:fill="F4F1F2"/>
          </w:tcPr>
          <w:p>
            <w:pPr>
              <w:spacing w:after="30" w:line="252" w:lineRule="auto"/>
            </w:pPr>
            <w:r>
              <w:rPr>
                <w:b w:val="0"/>
                <w:i w:val="0"/>
                <w:sz w:val="17"/>
              </w:rPr>
              <w:t>FR-33, FR-36</w:t>
            </w:r>
          </w:p>
        </w:tc>
      </w:tr>
      <w:tr>
        <w:trPr>
          <w:cantSplit w:val="true"/>
        </w:trPr>
        <w:tc>
          <w:tcPr>
            <w:tcW w:type="dxa" w:w="567"/>
          </w:tcPr>
          <w:p>
            <w:pPr>
              <w:spacing w:after="30" w:line="252" w:lineRule="auto"/>
            </w:pPr>
            <w:r>
              <w:rPr>
                <w:b w:val="0"/>
                <w:i w:val="0"/>
                <w:sz w:val="17"/>
              </w:rPr>
              <w:t>S6</w:t>
            </w:r>
          </w:p>
        </w:tc>
        <w:tc>
          <w:tcPr>
            <w:tcW w:type="dxa" w:w="3969"/>
          </w:tcPr>
          <w:p>
            <w:pPr>
              <w:spacing w:after="30" w:line="252" w:lineRule="auto"/>
            </w:pPr>
            <w:r>
              <w:rPr>
                <w:b w:val="0"/>
                <w:i w:val="0"/>
                <w:sz w:val="17"/>
              </w:rPr>
              <w:t>Patient data must stay inside the clinic.</w:t>
            </w:r>
          </w:p>
        </w:tc>
        <w:tc>
          <w:tcPr>
            <w:tcW w:type="dxa" w:w="1361"/>
          </w:tcPr>
          <w:p>
            <w:pPr>
              <w:spacing w:after="30" w:line="252" w:lineRule="auto"/>
            </w:pPr>
            <w:r>
              <w:rPr>
                <w:b w:val="0"/>
                <w:i w:val="0"/>
                <w:sz w:val="17"/>
              </w:rPr>
              <w:t>Supported by P1</w:t>
            </w:r>
          </w:p>
        </w:tc>
        <w:tc>
          <w:tcPr>
            <w:tcW w:type="dxa" w:w="2211"/>
          </w:tcPr>
          <w:p>
            <w:pPr>
              <w:spacing w:after="30" w:line="252" w:lineRule="auto"/>
            </w:pPr>
            <w:r>
              <w:rPr>
                <w:b w:val="0"/>
                <w:i w:val="0"/>
                <w:sz w:val="17"/>
              </w:rPr>
              <w:t>Q15</w:t>
            </w:r>
          </w:p>
        </w:tc>
        <w:tc>
          <w:tcPr>
            <w:tcW w:type="dxa" w:w="1531"/>
          </w:tcPr>
          <w:p>
            <w:pPr>
              <w:spacing w:after="30" w:line="252" w:lineRule="auto"/>
            </w:pPr>
            <w:r>
              <w:rPr>
                <w:b w:val="0"/>
                <w:i w:val="0"/>
                <w:sz w:val="17"/>
              </w:rPr>
              <w:t>NFR-08</w:t>
            </w:r>
          </w:p>
        </w:tc>
      </w:tr>
      <w:tr>
        <w:trPr>
          <w:cantSplit w:val="true"/>
        </w:trPr>
        <w:tc>
          <w:tcPr>
            <w:tcW w:type="dxa" w:w="567"/>
            <w:shd w:val="clear" w:color="auto" w:fill="F4F1F2"/>
          </w:tcPr>
          <w:p>
            <w:pPr>
              <w:spacing w:after="30" w:line="252" w:lineRule="auto"/>
            </w:pPr>
            <w:r>
              <w:rPr>
                <w:b w:val="0"/>
                <w:i w:val="0"/>
                <w:sz w:val="17"/>
              </w:rPr>
              <w:t>A4</w:t>
            </w:r>
          </w:p>
        </w:tc>
        <w:tc>
          <w:tcPr>
            <w:tcW w:type="dxa" w:w="3969"/>
            <w:shd w:val="clear" w:color="auto" w:fill="F4F1F2"/>
          </w:tcPr>
          <w:p>
            <w:pPr>
              <w:spacing w:after="30" w:line="252" w:lineRule="auto"/>
            </w:pPr>
            <w:r>
              <w:rPr>
                <w:b w:val="0"/>
                <w:i w:val="0"/>
                <w:sz w:val="17"/>
              </w:rPr>
              <w:t>At most 3 to 5 warnings per prescription are acceptable.</w:t>
            </w:r>
          </w:p>
        </w:tc>
        <w:tc>
          <w:tcPr>
            <w:tcW w:type="dxa" w:w="1361"/>
            <w:shd w:val="clear" w:color="auto" w:fill="F4F1F2"/>
          </w:tcPr>
          <w:p>
            <w:pPr>
              <w:spacing w:after="30" w:line="252" w:lineRule="auto"/>
            </w:pPr>
            <w:r>
              <w:rPr>
                <w:b w:val="0"/>
                <w:i w:val="0"/>
                <w:sz w:val="17"/>
              </w:rPr>
              <w:t>Assumption</w:t>
            </w:r>
          </w:p>
        </w:tc>
        <w:tc>
          <w:tcPr>
            <w:tcW w:type="dxa" w:w="2211"/>
            <w:shd w:val="clear" w:color="auto" w:fill="F4F1F2"/>
          </w:tcPr>
          <w:p>
            <w:pPr>
              <w:spacing w:after="30" w:line="252" w:lineRule="auto"/>
            </w:pPr>
            <w:r>
              <w:rPr>
                <w:b w:val="0"/>
                <w:i w:val="0"/>
                <w:sz w:val="17"/>
              </w:rPr>
              <w:t>P1 answered qualitatively (risk levels), no number</w:t>
            </w:r>
          </w:p>
        </w:tc>
        <w:tc>
          <w:tcPr>
            <w:tcW w:type="dxa" w:w="1531"/>
            <w:shd w:val="clear" w:color="auto" w:fill="F4F1F2"/>
          </w:tcPr>
          <w:p>
            <w:pPr>
              <w:spacing w:after="30" w:line="252" w:lineRule="auto"/>
            </w:pPr>
            <w:r>
              <w:rPr>
                <w:b w:val="0"/>
                <w:i w:val="0"/>
                <w:sz w:val="17"/>
              </w:rPr>
              <w:t>Severity model, interface</w:t>
            </w:r>
          </w:p>
        </w:tc>
      </w:tr>
      <w:tr>
        <w:trPr>
          <w:cantSplit w:val="true"/>
        </w:trPr>
        <w:tc>
          <w:tcPr>
            <w:tcW w:type="dxa" w:w="567"/>
          </w:tcPr>
          <w:p>
            <w:pPr>
              <w:spacing w:after="30" w:line="252" w:lineRule="auto"/>
            </w:pPr>
            <w:r>
              <w:rPr>
                <w:b w:val="0"/>
                <w:i w:val="0"/>
                <w:sz w:val="17"/>
              </w:rPr>
              <w:t>A7</w:t>
            </w:r>
          </w:p>
        </w:tc>
        <w:tc>
          <w:tcPr>
            <w:tcW w:type="dxa" w:w="3969"/>
          </w:tcPr>
          <w:p>
            <w:pPr>
              <w:spacing w:after="30" w:line="252" w:lineRule="auto"/>
            </w:pPr>
            <w:r>
              <w:rPr>
                <w:b w:val="0"/>
                <w:i w:val="0"/>
                <w:sz w:val="17"/>
              </w:rPr>
              <w:t>Patients are willing to enter and keep up to date their own history in the application.</w:t>
            </w:r>
          </w:p>
        </w:tc>
        <w:tc>
          <w:tcPr>
            <w:tcW w:type="dxa" w:w="1361"/>
          </w:tcPr>
          <w:p>
            <w:pPr>
              <w:spacing w:after="30" w:line="252" w:lineRule="auto"/>
            </w:pPr>
            <w:r>
              <w:rPr>
                <w:b w:val="0"/>
                <w:i w:val="0"/>
                <w:sz w:val="17"/>
              </w:rPr>
              <w:t>Assumption</w:t>
            </w:r>
          </w:p>
        </w:tc>
        <w:tc>
          <w:tcPr>
            <w:tcW w:type="dxa" w:w="2211"/>
          </w:tcPr>
          <w:p>
            <w:pPr>
              <w:spacing w:after="30" w:line="252" w:lineRule="auto"/>
            </w:pPr>
            <w:r>
              <w:rPr>
                <w:b w:val="0"/>
                <w:i w:val="0"/>
                <w:sz w:val="17"/>
              </w:rPr>
              <w:t>Indirect, from the physician's view (Q7, Q8); no patient has been asked yet</w:t>
            </w:r>
          </w:p>
        </w:tc>
        <w:tc>
          <w:tcPr>
            <w:tcW w:type="dxa" w:w="1531"/>
          </w:tcPr>
          <w:p>
            <w:pPr>
              <w:spacing w:after="30" w:line="252" w:lineRule="auto"/>
            </w:pPr>
            <w:r>
              <w:rPr>
                <w:b w:val="0"/>
                <w:i w:val="0"/>
                <w:sz w:val="17"/>
              </w:rPr>
              <w:t>FR-05</w:t>
            </w:r>
          </w:p>
        </w:tc>
      </w:tr>
      <w:tr>
        <w:trPr>
          <w:cantSplit w:val="true"/>
        </w:trPr>
        <w:tc>
          <w:tcPr>
            <w:tcW w:type="dxa" w:w="567"/>
            <w:shd w:val="clear" w:color="auto" w:fill="F4F1F2"/>
          </w:tcPr>
          <w:p>
            <w:pPr>
              <w:spacing w:after="30" w:line="252" w:lineRule="auto"/>
            </w:pPr>
            <w:r>
              <w:rPr>
                <w:b w:val="0"/>
                <w:i w:val="0"/>
                <w:sz w:val="17"/>
              </w:rPr>
              <w:t>A8</w:t>
            </w:r>
          </w:p>
        </w:tc>
        <w:tc>
          <w:tcPr>
            <w:tcW w:type="dxa" w:w="3969"/>
            <w:shd w:val="clear" w:color="auto" w:fill="F4F1F2"/>
          </w:tcPr>
          <w:p>
            <w:pPr>
              <w:spacing w:after="30" w:line="252" w:lineRule="auto"/>
            </w:pPr>
            <w:r>
              <w:rPr>
                <w:b w:val="0"/>
                <w:i w:val="0"/>
                <w:sz w:val="17"/>
              </w:rPr>
              <w:t>Findings from one clinic and a young population apply to other clinics and to older patients.</w:t>
            </w:r>
          </w:p>
        </w:tc>
        <w:tc>
          <w:tcPr>
            <w:tcW w:type="dxa" w:w="1361"/>
            <w:shd w:val="clear" w:color="auto" w:fill="F4F1F2"/>
          </w:tcPr>
          <w:p>
            <w:pPr>
              <w:spacing w:after="30" w:line="252" w:lineRule="auto"/>
            </w:pPr>
            <w:r>
              <w:rPr>
                <w:b w:val="0"/>
                <w:i w:val="0"/>
                <w:sz w:val="17"/>
              </w:rPr>
              <w:t>Assumption</w:t>
            </w:r>
          </w:p>
        </w:tc>
        <w:tc>
          <w:tcPr>
            <w:tcW w:type="dxa" w:w="2211"/>
            <w:shd w:val="clear" w:color="auto" w:fill="F4F1F2"/>
          </w:tcPr>
          <w:p>
            <w:pPr>
              <w:spacing w:after="30" w:line="252" w:lineRule="auto"/>
            </w:pPr>
            <w:r>
              <w:rPr>
                <w:b w:val="0"/>
                <w:i w:val="0"/>
                <w:sz w:val="17"/>
              </w:rPr>
              <w:t>To be checked in P2 to P5</w:t>
            </w:r>
          </w:p>
        </w:tc>
        <w:tc>
          <w:tcPr>
            <w:tcW w:type="dxa" w:w="1531"/>
            <w:shd w:val="clear" w:color="auto" w:fill="F4F1F2"/>
          </w:tcPr>
          <w:p>
            <w:pPr>
              <w:spacing w:after="30" w:line="252" w:lineRule="auto"/>
            </w:pPr>
            <w:r>
              <w:rPr>
                <w:b w:val="0"/>
                <w:i w:val="0"/>
                <w:sz w:val="17"/>
              </w:rPr>
              <w:t>Scope</w:t>
            </w:r>
          </w:p>
        </w:tc>
      </w:tr>
    </w:tbl>
    <w:p>
      <w:pPr>
        <w:spacing w:after="40"/>
      </w:pPr>
    </w:p>
    <w:p>
      <w:pPr>
        <w:pStyle w:val="Heading3"/>
      </w:pPr>
      <w:r>
        <w:t>Plan for the remaining discussions</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907"/>
        <w:gridCol w:w="3969"/>
        <w:gridCol w:w="3742"/>
        <w:gridCol w:w="1020"/>
      </w:tblGrid>
      <w:tr>
        <w:trPr>
          <w:tblHeader w:val="true"/>
        </w:trPr>
        <w:tc>
          <w:tcPr>
            <w:tcW w:type="dxa" w:w="907"/>
            <w:shd w:val="clear" w:color="auto" w:fill="6B1E3A"/>
          </w:tcPr>
          <w:p>
            <w:pPr>
              <w:spacing w:after="0"/>
            </w:pPr>
            <w:r>
              <w:rPr>
                <w:b/>
                <w:color w:val="FFFFFF"/>
                <w:sz w:val="18"/>
              </w:rPr>
              <w:t>ID</w:t>
            </w:r>
          </w:p>
        </w:tc>
        <w:tc>
          <w:tcPr>
            <w:tcW w:type="dxa" w:w="3969"/>
            <w:shd w:val="clear" w:color="auto" w:fill="6B1E3A"/>
          </w:tcPr>
          <w:p>
            <w:pPr>
              <w:spacing w:after="0"/>
            </w:pPr>
            <w:r>
              <w:rPr>
                <w:b/>
                <w:color w:val="FFFFFF"/>
                <w:sz w:val="18"/>
              </w:rPr>
              <w:t>Participant</w:t>
            </w:r>
          </w:p>
        </w:tc>
        <w:tc>
          <w:tcPr>
            <w:tcW w:type="dxa" w:w="3742"/>
            <w:shd w:val="clear" w:color="auto" w:fill="6B1E3A"/>
          </w:tcPr>
          <w:p>
            <w:pPr>
              <w:spacing w:after="0"/>
            </w:pPr>
            <w:r>
              <w:rPr>
                <w:b/>
                <w:color w:val="FFFFFF"/>
                <w:sz w:val="18"/>
              </w:rPr>
              <w:t>Purpose</w:t>
            </w:r>
          </w:p>
        </w:tc>
        <w:tc>
          <w:tcPr>
            <w:tcW w:type="dxa" w:w="1020"/>
            <w:shd w:val="clear" w:color="auto" w:fill="6B1E3A"/>
          </w:tcPr>
          <w:p>
            <w:pPr>
              <w:spacing w:after="0"/>
            </w:pPr>
            <w:r>
              <w:rPr>
                <w:b/>
                <w:color w:val="FFFFFF"/>
                <w:sz w:val="18"/>
              </w:rPr>
              <w:t>Status</w:t>
            </w:r>
          </w:p>
        </w:tc>
      </w:tr>
      <w:tr>
        <w:trPr>
          <w:cantSplit w:val="true"/>
        </w:trPr>
        <w:tc>
          <w:tcPr>
            <w:tcW w:type="dxa" w:w="907"/>
          </w:tcPr>
          <w:p>
            <w:pPr>
              <w:spacing w:after="30" w:line="252" w:lineRule="auto"/>
            </w:pPr>
            <w:r>
              <w:rPr>
                <w:b w:val="0"/>
                <w:i w:val="0"/>
                <w:sz w:val="18"/>
              </w:rPr>
              <w:t>P2</w:t>
            </w:r>
          </w:p>
        </w:tc>
        <w:tc>
          <w:tcPr>
            <w:tcW w:type="dxa" w:w="3969"/>
          </w:tcPr>
          <w:p>
            <w:pPr>
              <w:spacing w:after="30" w:line="252" w:lineRule="auto"/>
            </w:pPr>
            <w:r>
              <w:rPr>
                <w:b w:val="0"/>
                <w:i w:val="0"/>
                <w:sz w:val="18"/>
              </w:rPr>
              <w:t>Physician of another specialty or clinic (for example a cardiologist or therapist treating older patients)</w:t>
            </w:r>
          </w:p>
        </w:tc>
        <w:tc>
          <w:tcPr>
            <w:tcW w:type="dxa" w:w="3742"/>
          </w:tcPr>
          <w:p>
            <w:pPr>
              <w:spacing w:after="30" w:line="252" w:lineRule="auto"/>
            </w:pPr>
            <w:r>
              <w:rPr>
                <w:b w:val="0"/>
                <w:i w:val="0"/>
                <w:sz w:val="18"/>
              </w:rPr>
              <w:t>Check A4 and A8; polypharmacy in older patients</w:t>
            </w:r>
          </w:p>
        </w:tc>
        <w:tc>
          <w:tcPr>
            <w:tcW w:type="dxa" w:w="1020"/>
          </w:tcPr>
          <w:p>
            <w:pPr>
              <w:spacing w:after="30" w:line="252" w:lineRule="auto"/>
            </w:pPr>
            <w:r>
              <w:rPr>
                <w:b w:val="0"/>
                <w:i w:val="0"/>
                <w:sz w:val="18"/>
              </w:rPr>
              <w:t>Planned</w:t>
            </w:r>
          </w:p>
        </w:tc>
      </w:tr>
      <w:tr>
        <w:trPr>
          <w:cantSplit w:val="true"/>
        </w:trPr>
        <w:tc>
          <w:tcPr>
            <w:tcW w:type="dxa" w:w="907"/>
            <w:shd w:val="clear" w:color="auto" w:fill="F4F1F2"/>
          </w:tcPr>
          <w:p>
            <w:pPr>
              <w:spacing w:after="30" w:line="252" w:lineRule="auto"/>
            </w:pPr>
            <w:r>
              <w:rPr>
                <w:b w:val="0"/>
                <w:i w:val="0"/>
                <w:sz w:val="18"/>
              </w:rPr>
              <w:t>P3</w:t>
            </w:r>
          </w:p>
        </w:tc>
        <w:tc>
          <w:tcPr>
            <w:tcW w:type="dxa" w:w="3969"/>
            <w:shd w:val="clear" w:color="auto" w:fill="F4F1F2"/>
          </w:tcPr>
          <w:p>
            <w:pPr>
              <w:spacing w:after="30" w:line="252" w:lineRule="auto"/>
            </w:pPr>
            <w:r>
              <w:rPr>
                <w:b w:val="0"/>
                <w:i w:val="0"/>
                <w:sz w:val="18"/>
              </w:rPr>
              <w:t>Clinical pharmacist or pharmacologist</w:t>
            </w:r>
          </w:p>
        </w:tc>
        <w:tc>
          <w:tcPr>
            <w:tcW w:type="dxa" w:w="3742"/>
            <w:shd w:val="clear" w:color="auto" w:fill="F4F1F2"/>
          </w:tcPr>
          <w:p>
            <w:pPr>
              <w:spacing w:after="30" w:line="252" w:lineRule="auto"/>
            </w:pPr>
            <w:r>
              <w:rPr>
                <w:b w:val="0"/>
                <w:i w:val="0"/>
                <w:sz w:val="18"/>
              </w:rPr>
              <w:t>Check alert levels and sources; alternatives</w:t>
            </w:r>
          </w:p>
        </w:tc>
        <w:tc>
          <w:tcPr>
            <w:tcW w:type="dxa" w:w="1020"/>
            <w:shd w:val="clear" w:color="auto" w:fill="F4F1F2"/>
          </w:tcPr>
          <w:p>
            <w:pPr>
              <w:spacing w:after="30" w:line="252" w:lineRule="auto"/>
            </w:pPr>
            <w:r>
              <w:rPr>
                <w:b w:val="0"/>
                <w:i w:val="0"/>
                <w:sz w:val="18"/>
              </w:rPr>
              <w:t>Planned</w:t>
            </w:r>
          </w:p>
        </w:tc>
      </w:tr>
      <w:tr>
        <w:trPr>
          <w:cantSplit w:val="true"/>
        </w:trPr>
        <w:tc>
          <w:tcPr>
            <w:tcW w:type="dxa" w:w="907"/>
          </w:tcPr>
          <w:p>
            <w:pPr>
              <w:spacing w:after="30" w:line="252" w:lineRule="auto"/>
            </w:pPr>
            <w:r>
              <w:rPr>
                <w:b w:val="0"/>
                <w:i w:val="0"/>
                <w:sz w:val="18"/>
              </w:rPr>
              <w:t>P4, P5</w:t>
            </w:r>
          </w:p>
        </w:tc>
        <w:tc>
          <w:tcPr>
            <w:tcW w:type="dxa" w:w="3969"/>
          </w:tcPr>
          <w:p>
            <w:pPr>
              <w:spacing w:after="30" w:line="252" w:lineRule="auto"/>
            </w:pPr>
            <w:r>
              <w:rPr>
                <w:b w:val="0"/>
                <w:i w:val="0"/>
                <w:sz w:val="18"/>
              </w:rPr>
              <w:t>Two patients (a student and a staff member)</w:t>
            </w:r>
          </w:p>
        </w:tc>
        <w:tc>
          <w:tcPr>
            <w:tcW w:type="dxa" w:w="3742"/>
          </w:tcPr>
          <w:p>
            <w:pPr>
              <w:spacing w:after="30" w:line="252" w:lineRule="auto"/>
            </w:pPr>
            <w:r>
              <w:rPr>
                <w:b w:val="0"/>
                <w:i w:val="0"/>
                <w:sz w:val="18"/>
              </w:rPr>
              <w:t>Check A7: will they enter the own history, book a slot, use reminders</w:t>
            </w:r>
          </w:p>
        </w:tc>
        <w:tc>
          <w:tcPr>
            <w:tcW w:type="dxa" w:w="1020"/>
          </w:tcPr>
          <w:p>
            <w:pPr>
              <w:spacing w:after="30" w:line="252" w:lineRule="auto"/>
            </w:pPr>
            <w:r>
              <w:rPr>
                <w:b w:val="0"/>
                <w:i w:val="0"/>
                <w:sz w:val="18"/>
              </w:rPr>
              <w:t>Planned</w:t>
            </w:r>
          </w:p>
        </w:tc>
      </w:tr>
    </w:tbl>
    <w:p>
      <w:pPr>
        <w:spacing w:after="40"/>
      </w:pPr>
    </w:p>
    <w:p>
      <w:r>
        <w:rPr>
          <w:b w:val="0"/>
          <w:i w:val="0"/>
          <w:sz w:val="20"/>
        </w:rPr>
        <w:t>The log in Table 2.2 and the statuses in Table 2.4 are updated after each discussion. A summary of the interview, with the signed consent, is stored in the project repository in docs/interviews/ (without the physician's name in public files).</w:t>
      </w:r>
    </w:p>
    <w:p>
      <w:pPr>
        <w:pStyle w:val="Heading2"/>
      </w:pPr>
      <w:r>
        <w:t>2.6 Limitations</w:t>
      </w:r>
    </w:p>
    <w:p>
      <w:pPr>
        <w:pStyle w:val="ListBullet"/>
        <w:spacing w:after="40"/>
      </w:pPr>
      <w:r>
        <w:rPr>
          <w:b w:val="0"/>
          <w:i w:val="0"/>
        </w:rPr>
        <w:t>One interview with one physician of one university clinic. The population is young; results are not statistical and are not claimed to be general.</w:t>
      </w:r>
    </w:p>
    <w:p>
      <w:pPr>
        <w:pStyle w:val="ListBullet"/>
        <w:spacing w:after="40"/>
      </w:pPr>
      <w:r>
        <w:rPr>
          <w:b w:val="0"/>
          <w:i w:val="0"/>
        </w:rPr>
        <w:t>The interview is a self-report. It shows what the physician perceives, not measured time or error rates.</w:t>
      </w:r>
    </w:p>
    <w:p>
      <w:pPr>
        <w:pStyle w:val="ListBullet"/>
        <w:spacing w:after="40"/>
      </w:pPr>
      <w:r>
        <w:rPr>
          <w:b w:val="0"/>
          <w:i w:val="0"/>
        </w:rPr>
        <w:t>The patient side (profile, self-entered history, booking) rests on the physician's view and on literature until patient conversations are done.</w:t>
      </w:r>
    </w:p>
    <w:p>
      <w:pPr>
        <w:sectPr>
          <w:headerReference w:type="default" r:id="rId9"/>
          <w:footerReference w:type="default" r:id="rId10"/>
          <w:pgSz w:w="11906" w:h="16838"/>
          <w:pgMar w:top="1134" w:right="1134" w:bottom="1020" w:left="1134" w:header="720" w:footer="720" w:gutter="0"/>
          <w:cols w:space="720"/>
          <w:docGrid w:linePitch="360"/>
        </w:sectPr>
      </w:pPr>
    </w:p>
    <w:p>
      <w:pPr>
        <w:pStyle w:val="Heading1"/>
      </w:pPr>
      <w:r>
        <w:t>Appendix A. Interview record (English)</w:t>
      </w:r>
    </w:p>
    <w:p>
      <w:r>
        <w:rPr>
          <w:b w:val="0"/>
          <w:i w:val="0"/>
          <w:sz w:val="20"/>
        </w:rPr>
        <w:t>The questions and answers as recorded and confirmed by the physician. The physician's name, signature and the signed consent form are kept by the team and are not reproduced here.</w:t>
      </w:r>
    </w:p>
    <w:tbl>
      <w:tblPr>
        <w:tblW w:type="auto" w:w="0"/>
        <w:jc w:val="center"/>
        <w:tblLayout w:type="fixed"/>
        <w:tblLook w:firstColumn="1" w:firstRow="1" w:lastColumn="0" w:lastRow="0" w:noHBand="0" w:noVBand="1" w:val="04A0"/>
        <w:tblBorders>
          <w:top w:val="single" w:sz="4" w:space="0" w:color="D9D2D5"/>
          <w:left w:val="single" w:sz="4" w:space="0" w:color="D9D2D5"/>
          <w:bottom w:val="single" w:sz="4" w:space="0" w:color="D9D2D5"/>
          <w:right w:val="single" w:sz="4" w:space="0" w:color="D9D2D5"/>
          <w:insideH w:val="single" w:sz="4" w:space="0" w:color="D9D2D5"/>
          <w:insideV w:val="single" w:sz="4" w:space="0" w:color="D9D2D5"/>
        </w:tblBorders>
        <w:tblCellMar>
          <w:top w:w="50" w:type="dxa"/>
          <w:left w:w="80" w:type="dxa"/>
          <w:bottom w:w="50" w:type="dxa"/>
          <w:right w:w="80" w:type="dxa"/>
        </w:tblCellMar>
        <w:tblLayout w:type="fixed"/>
      </w:tblPr>
      <w:tblGrid>
        <w:gridCol w:w="454"/>
        <w:gridCol w:w="3175"/>
        <w:gridCol w:w="6009"/>
      </w:tblGrid>
      <w:tr>
        <w:trPr>
          <w:tblHeader w:val="true"/>
        </w:trPr>
        <w:tc>
          <w:tcPr>
            <w:tcW w:type="dxa" w:w="454"/>
            <w:shd w:val="clear" w:color="auto" w:fill="6B1E3A"/>
          </w:tcPr>
          <w:p>
            <w:pPr>
              <w:spacing w:after="0"/>
            </w:pPr>
            <w:r>
              <w:rPr>
                <w:b/>
                <w:color w:val="FFFFFF"/>
                <w:sz w:val="17"/>
              </w:rPr>
              <w:t>#</w:t>
            </w:r>
          </w:p>
        </w:tc>
        <w:tc>
          <w:tcPr>
            <w:tcW w:type="dxa" w:w="3175"/>
            <w:shd w:val="clear" w:color="auto" w:fill="6B1E3A"/>
          </w:tcPr>
          <w:p>
            <w:pPr>
              <w:spacing w:after="0"/>
            </w:pPr>
            <w:r>
              <w:rPr>
                <w:b/>
                <w:color w:val="FFFFFF"/>
                <w:sz w:val="17"/>
              </w:rPr>
              <w:t>Question</w:t>
            </w:r>
          </w:p>
        </w:tc>
        <w:tc>
          <w:tcPr>
            <w:tcW w:type="dxa" w:w="6009"/>
            <w:shd w:val="clear" w:color="auto" w:fill="6B1E3A"/>
          </w:tcPr>
          <w:p>
            <w:pPr>
              <w:spacing w:after="0"/>
            </w:pPr>
            <w:r>
              <w:rPr>
                <w:b/>
                <w:color w:val="FFFFFF"/>
                <w:sz w:val="17"/>
              </w:rPr>
              <w:t>Answer (P1)</w:t>
            </w:r>
          </w:p>
        </w:tc>
      </w:tr>
      <w:tr>
        <w:trPr>
          <w:cantSplit w:val="true"/>
        </w:trPr>
        <w:tc>
          <w:tcPr>
            <w:tcW w:type="dxa" w:w="454"/>
          </w:tcPr>
          <w:p>
            <w:pPr>
              <w:spacing w:after="30" w:line="252" w:lineRule="auto"/>
            </w:pPr>
            <w:r>
              <w:rPr>
                <w:b w:val="0"/>
                <w:i w:val="0"/>
                <w:sz w:val="17"/>
              </w:rPr>
              <w:t>1</w:t>
            </w:r>
          </w:p>
        </w:tc>
        <w:tc>
          <w:tcPr>
            <w:tcW w:type="dxa" w:w="3175"/>
          </w:tcPr>
          <w:p>
            <w:pPr>
              <w:spacing w:after="30" w:line="252" w:lineRule="auto"/>
            </w:pPr>
            <w:r>
              <w:rPr>
                <w:b w:val="0"/>
                <w:i w:val="0"/>
                <w:sz w:val="17"/>
              </w:rPr>
              <w:t>Where do you work and which patients do you see most often: age, chronic conditions, number of medications taken at the same time?</w:t>
            </w:r>
          </w:p>
        </w:tc>
        <w:tc>
          <w:tcPr>
            <w:tcW w:type="dxa" w:w="6009"/>
          </w:tcPr>
          <w:p>
            <w:pPr>
              <w:spacing w:after="30" w:line="252" w:lineRule="auto"/>
            </w:pPr>
            <w:r>
              <w:rPr>
                <w:b w:val="0"/>
                <w:i w:val="0"/>
                <w:sz w:val="17"/>
              </w:rPr>
              <w:t>I work as a physician at the Mediker clinic based at Astana IT University. The main flow is students aged 17–25 and university staff. Students most often come with acute respiratory infections, gastritis, headaches, allergies, anxiety and sleep problems during exams, and sports injuries. Some have chronic conditions: bronchial asthma, atopic dermatitis, type 1 diabetes, epilepsy. Staff over 40 come with hypertension, type 2 diabetes and thyroid disorders. Students usually take 1–3 drugs; staff sometimes take 4–6.</w:t>
            </w:r>
          </w:p>
        </w:tc>
      </w:tr>
      <w:tr>
        <w:trPr>
          <w:cantSplit w:val="true"/>
        </w:trPr>
        <w:tc>
          <w:tcPr>
            <w:tcW w:type="dxa" w:w="454"/>
            <w:shd w:val="clear" w:color="auto" w:fill="F4F1F2"/>
          </w:tcPr>
          <w:p>
            <w:pPr>
              <w:spacing w:after="30" w:line="252" w:lineRule="auto"/>
            </w:pPr>
            <w:r>
              <w:rPr>
                <w:b w:val="0"/>
                <w:i w:val="0"/>
                <w:sz w:val="17"/>
              </w:rPr>
              <w:t>2</w:t>
            </w:r>
          </w:p>
        </w:tc>
        <w:tc>
          <w:tcPr>
            <w:tcW w:type="dxa" w:w="3175"/>
            <w:shd w:val="clear" w:color="auto" w:fill="F4F1F2"/>
          </w:tcPr>
          <w:p>
            <w:pPr>
              <w:spacing w:after="30" w:line="252" w:lineRule="auto"/>
            </w:pPr>
            <w:r>
              <w:rPr>
                <w:b w:val="0"/>
                <w:i w:val="0"/>
                <w:sz w:val="17"/>
              </w:rPr>
              <w:t>How do you prescribe treatment for a patient who is already taking several medications? Describe your steps from collecting the medical history to writing the prescription.</w:t>
            </w:r>
          </w:p>
        </w:tc>
        <w:tc>
          <w:tcPr>
            <w:tcW w:type="dxa" w:w="6009"/>
            <w:shd w:val="clear" w:color="auto" w:fill="F4F1F2"/>
          </w:tcPr>
          <w:p>
            <w:pPr>
              <w:spacing w:after="30" w:line="252" w:lineRule="auto"/>
            </w:pPr>
            <w:r>
              <w:rPr>
                <w:b w:val="0"/>
                <w:i w:val="0"/>
                <w:sz w:val="17"/>
              </w:rPr>
              <w:t>First I open the record in our clinic's information system and look at previous visits. Then I ask the patient what they take now, what was prescribed at the polyclinic where they are registered, and whether they have allergies or chronic conditions. With students I ask separately about antidepressants, acne medications, contraceptives and sports supplements, because they do not mention them on their own. Then I choose the drug according to the clinical protocol and check contraindications and compatibility with what is already being taken. I write the prescription and explain how and how much to take.</w:t>
            </w:r>
          </w:p>
        </w:tc>
      </w:tr>
      <w:tr>
        <w:trPr>
          <w:cantSplit w:val="true"/>
        </w:trPr>
        <w:tc>
          <w:tcPr>
            <w:tcW w:type="dxa" w:w="454"/>
          </w:tcPr>
          <w:p>
            <w:pPr>
              <w:spacing w:after="30" w:line="252" w:lineRule="auto"/>
            </w:pPr>
            <w:r>
              <w:rPr>
                <w:b w:val="0"/>
                <w:i w:val="0"/>
                <w:sz w:val="17"/>
              </w:rPr>
              <w:t>3</w:t>
            </w:r>
          </w:p>
        </w:tc>
        <w:tc>
          <w:tcPr>
            <w:tcW w:type="dxa" w:w="3175"/>
          </w:tcPr>
          <w:p>
            <w:pPr>
              <w:spacing w:after="30" w:line="252" w:lineRule="auto"/>
            </w:pPr>
            <w:r>
              <w:rPr>
                <w:b w:val="0"/>
                <w:i w:val="0"/>
                <w:sz w:val="17"/>
              </w:rPr>
              <w:t>Where do you get information about interactions and contraindications: Vidal, RLS, package inserts, Drugs.com, experience, colleagues, something in the medical information system?</w:t>
            </w:r>
          </w:p>
        </w:tc>
        <w:tc>
          <w:tcPr>
            <w:tcW w:type="dxa" w:w="6009"/>
          </w:tcPr>
          <w:p>
            <w:pPr>
              <w:spacing w:after="30" w:line="252" w:lineRule="auto"/>
            </w:pPr>
            <w:r>
              <w:rPr>
                <w:b w:val="0"/>
                <w:i w:val="0"/>
                <w:sz w:val="17"/>
              </w:rPr>
              <w:t>Mostly package inserts and the Vidal reference book; for interactions more often Drugs.com or Medscape, because they have a convenient checker. Our clinic's information system has no automatic interaction check; it is mainly for recording visits and prescriptions. In complex cases I consult colleagues at the clinic or call a clinical pharmacologist at the main Mediker clinic.</w:t>
            </w:r>
          </w:p>
        </w:tc>
      </w:tr>
      <w:tr>
        <w:trPr>
          <w:cantSplit w:val="true"/>
        </w:trPr>
        <w:tc>
          <w:tcPr>
            <w:tcW w:type="dxa" w:w="454"/>
            <w:shd w:val="clear" w:color="auto" w:fill="F4F1F2"/>
          </w:tcPr>
          <w:p>
            <w:pPr>
              <w:spacing w:after="30" w:line="252" w:lineRule="auto"/>
            </w:pPr>
            <w:r>
              <w:rPr>
                <w:b w:val="0"/>
                <w:i w:val="0"/>
                <w:sz w:val="17"/>
              </w:rPr>
              <w:t>4</w:t>
            </w:r>
          </w:p>
        </w:tc>
        <w:tc>
          <w:tcPr>
            <w:tcW w:type="dxa" w:w="3175"/>
            <w:shd w:val="clear" w:color="auto" w:fill="F4F1F2"/>
          </w:tcPr>
          <w:p>
            <w:pPr>
              <w:spacing w:after="30" w:line="252" w:lineRule="auto"/>
            </w:pPr>
            <w:r>
              <w:rPr>
                <w:b w:val="0"/>
                <w:i w:val="0"/>
                <w:sz w:val="17"/>
              </w:rPr>
              <w:t>How much time does checking drug compatibility for one patient usually take? Do you do it every time or only in complex cases?</w:t>
            </w:r>
          </w:p>
        </w:tc>
        <w:tc>
          <w:tcPr>
            <w:tcW w:type="dxa" w:w="6009"/>
            <w:shd w:val="clear" w:color="auto" w:fill="F4F1F2"/>
          </w:tcPr>
          <w:p>
            <w:pPr>
              <w:spacing w:after="30" w:line="252" w:lineRule="auto"/>
            </w:pPr>
            <w:r>
              <w:rPr>
                <w:b w:val="0"/>
                <w:i w:val="0"/>
                <w:sz w:val="17"/>
              </w:rPr>
              <w:t>If there are two or three drugs, the check takes 3–5 minutes. For staff on 5–6 drugs it takes up to 10–15 minutes if every pair is checked. During the respiratory-infection season, with 25–30 visits a day, it is not possible to check everyone. I always check with chronic conditions, antidepressants and anticonvulsants, antibiotics, and when the patient already takes something from another doctor. In simple cases like a cold in a healthy student I rely on experience.</w:t>
            </w:r>
          </w:p>
        </w:tc>
      </w:tr>
      <w:tr>
        <w:trPr>
          <w:cantSplit w:val="true"/>
        </w:trPr>
        <w:tc>
          <w:tcPr>
            <w:tcW w:type="dxa" w:w="454"/>
          </w:tcPr>
          <w:p>
            <w:pPr>
              <w:spacing w:after="30" w:line="252" w:lineRule="auto"/>
            </w:pPr>
            <w:r>
              <w:rPr>
                <w:b w:val="0"/>
                <w:i w:val="0"/>
                <w:sz w:val="17"/>
              </w:rPr>
              <w:t>5</w:t>
            </w:r>
          </w:p>
        </w:tc>
        <w:tc>
          <w:tcPr>
            <w:tcW w:type="dxa" w:w="3175"/>
          </w:tcPr>
          <w:p>
            <w:pPr>
              <w:spacing w:after="30" w:line="252" w:lineRule="auto"/>
            </w:pPr>
            <w:r>
              <w:rPr>
                <w:b w:val="0"/>
                <w:i w:val="0"/>
                <w:sz w:val="17"/>
              </w:rPr>
              <w:t>Recall a case where a patient had a problem due to a drug combination, allergy, or comorbidity. How was it detected, and what could have helped earlier?</w:t>
            </w:r>
          </w:p>
        </w:tc>
        <w:tc>
          <w:tcPr>
            <w:tcW w:type="dxa" w:w="6009"/>
          </w:tcPr>
          <w:p>
            <w:pPr>
              <w:spacing w:after="30" w:line="252" w:lineRule="auto"/>
            </w:pPr>
            <w:r>
              <w:rPr>
                <w:b w:val="0"/>
                <w:i w:val="0"/>
                <w:sz w:val="17"/>
              </w:rPr>
              <w:t>A student with chronic gastritis regularly took ibuprofen for headaches, which was not in the record. Elsewhere he was prescribed diclofenac for a knee injury, and a few days later he came in with abdominal pain and black stool; he had to be referred to hospital with suspected bleeding. There was also a case where a student with a penicillin allergy received amoxicillin, because the allergy was recorded only at the polyclinic where she is registered and was not in our record. Both cases were found only from complaints. It would help if a system could see all current drugs and allergies and warn at the time of prescribing.</w:t>
            </w:r>
          </w:p>
        </w:tc>
      </w:tr>
      <w:tr>
        <w:trPr>
          <w:cantSplit w:val="true"/>
        </w:trPr>
        <w:tc>
          <w:tcPr>
            <w:tcW w:type="dxa" w:w="454"/>
            <w:shd w:val="clear" w:color="auto" w:fill="F4F1F2"/>
          </w:tcPr>
          <w:p>
            <w:pPr>
              <w:spacing w:after="30" w:line="252" w:lineRule="auto"/>
            </w:pPr>
            <w:r>
              <w:rPr>
                <w:b w:val="0"/>
                <w:i w:val="0"/>
                <w:sz w:val="17"/>
              </w:rPr>
              <w:t>6</w:t>
            </w:r>
          </w:p>
        </w:tc>
        <w:tc>
          <w:tcPr>
            <w:tcW w:type="dxa" w:w="3175"/>
            <w:shd w:val="clear" w:color="auto" w:fill="F4F1F2"/>
          </w:tcPr>
          <w:p>
            <w:pPr>
              <w:spacing w:after="30" w:line="252" w:lineRule="auto"/>
            </w:pPr>
            <w:r>
              <w:rPr>
                <w:b w:val="0"/>
                <w:i w:val="0"/>
                <w:sz w:val="17"/>
              </w:rPr>
              <w:t>Which prescribing errors occur most often: interaction, allergy, contraindication by diagnosis, duplication of the active substance, wrong dosage?</w:t>
            </w:r>
          </w:p>
        </w:tc>
        <w:tc>
          <w:tcPr>
            <w:tcW w:type="dxa" w:w="6009"/>
            <w:shd w:val="clear" w:color="auto" w:fill="F4F1F2"/>
          </w:tcPr>
          <w:p>
            <w:pPr>
              <w:spacing w:after="30" w:line="252" w:lineRule="auto"/>
            </w:pPr>
            <w:r>
              <w:rPr>
                <w:b w:val="0"/>
                <w:i w:val="0"/>
                <w:sz w:val="17"/>
              </w:rPr>
              <w:t>Among students the most common is duplication: they take combined cold powders and paracetamol separately, or two NSAIDs under different names. Second are contraindications by diagnosis, for example NSAIDs with gastritis or some nasal decongestants with hypertension in staff. Allergy is rarer but more dangerous, especially to antibiotics. Dosing errors happen because of self-medication: the patient takes more than prescribed. Clinically significant interactions are rare in young people, but they do occur with antidepressants and anticonvulsants.</w:t>
            </w:r>
          </w:p>
        </w:tc>
      </w:tr>
      <w:tr>
        <w:trPr>
          <w:cantSplit w:val="true"/>
        </w:trPr>
        <w:tc>
          <w:tcPr>
            <w:tcW w:type="dxa" w:w="454"/>
          </w:tcPr>
          <w:p>
            <w:pPr>
              <w:spacing w:after="30" w:line="252" w:lineRule="auto"/>
            </w:pPr>
            <w:r>
              <w:rPr>
                <w:b w:val="0"/>
                <w:i w:val="0"/>
                <w:sz w:val="17"/>
              </w:rPr>
              <w:t>7</w:t>
            </w:r>
          </w:p>
        </w:tc>
        <w:tc>
          <w:tcPr>
            <w:tcW w:type="dxa" w:w="3175"/>
          </w:tcPr>
          <w:p>
            <w:pPr>
              <w:spacing w:after="30" w:line="252" w:lineRule="auto"/>
            </w:pPr>
            <w:r>
              <w:rPr>
                <w:b w:val="0"/>
                <w:i w:val="0"/>
                <w:sz w:val="17"/>
              </w:rPr>
              <w:t>How completely do you know what the patient actually takes, including drugs from other doctors, supplements and over-the-counter medicines?</w:t>
            </w:r>
          </w:p>
        </w:tc>
        <w:tc>
          <w:tcPr>
            <w:tcW w:type="dxa" w:w="6009"/>
          </w:tcPr>
          <w:p>
            <w:pPr>
              <w:spacing w:after="30" w:line="252" w:lineRule="auto"/>
            </w:pPr>
            <w:r>
              <w:rPr>
                <w:b w:val="0"/>
                <w:i w:val="0"/>
                <w:sz w:val="17"/>
              </w:rPr>
              <w:t>Less than half. Students are registered at polyclinics at their place of residence or in another city, and I cannot see prescriptions from there. They buy a lot on their own at the pharmacy on the advice of friends or the internet: painkillers, sleeping pills, concentration aids during exams, protein and sports supplements, high-dose vitamins. They do not mention this unless asked directly. Staff usually know their drugs better, but do not always remember the names.</w:t>
            </w:r>
          </w:p>
        </w:tc>
      </w:tr>
      <w:tr>
        <w:trPr>
          <w:cantSplit w:val="true"/>
        </w:trPr>
        <w:tc>
          <w:tcPr>
            <w:tcW w:type="dxa" w:w="454"/>
            <w:shd w:val="clear" w:color="auto" w:fill="F4F1F2"/>
          </w:tcPr>
          <w:p>
            <w:pPr>
              <w:spacing w:after="30" w:line="252" w:lineRule="auto"/>
            </w:pPr>
            <w:r>
              <w:rPr>
                <w:b w:val="0"/>
                <w:i w:val="0"/>
                <w:sz w:val="17"/>
              </w:rPr>
              <w:t>8</w:t>
            </w:r>
          </w:p>
        </w:tc>
        <w:tc>
          <w:tcPr>
            <w:tcW w:type="dxa" w:w="3175"/>
            <w:shd w:val="clear" w:color="auto" w:fill="F4F1F2"/>
          </w:tcPr>
          <w:p>
            <w:pPr>
              <w:spacing w:after="30" w:line="252" w:lineRule="auto"/>
            </w:pPr>
            <w:r>
              <w:rPr>
                <w:b w:val="0"/>
                <w:i w:val="0"/>
                <w:sz w:val="17"/>
              </w:rPr>
              <w:t>In what form is the patient's medical history stored: paper, DamuMed or another system, free text, structured fields? How complete and up to date is it?</w:t>
            </w:r>
          </w:p>
        </w:tc>
        <w:tc>
          <w:tcPr>
            <w:tcW w:type="dxa" w:w="6009"/>
            <w:shd w:val="clear" w:color="auto" w:fill="F4F1F2"/>
          </w:tcPr>
          <w:p>
            <w:pPr>
              <w:spacing w:after="30" w:line="252" w:lineRule="auto"/>
            </w:pPr>
            <w:r>
              <w:rPr>
                <w:b w:val="0"/>
                <w:i w:val="0"/>
                <w:sz w:val="17"/>
              </w:rPr>
              <w:t>We have our own clinic information system, not DamuMed. Visit notes are mostly free text; there are fields for diagnosis and allergies, but they are not always filled in. The record contains only visits to our clinic, while the student's state polyclinic keeps its own record in DamuMed, and these data are not linked. Students bring certificates and discharge summaries on paper or as photos on their phone. So the history is incomplete, and I ask again at every visit.</w:t>
            </w:r>
          </w:p>
        </w:tc>
      </w:tr>
      <w:tr>
        <w:trPr>
          <w:cantSplit w:val="true"/>
        </w:trPr>
        <w:tc>
          <w:tcPr>
            <w:tcW w:type="dxa" w:w="454"/>
          </w:tcPr>
          <w:p>
            <w:pPr>
              <w:spacing w:after="30" w:line="252" w:lineRule="auto"/>
            </w:pPr>
            <w:r>
              <w:rPr>
                <w:b w:val="0"/>
                <w:i w:val="0"/>
                <w:sz w:val="17"/>
              </w:rPr>
              <w:t>9</w:t>
            </w:r>
          </w:p>
        </w:tc>
        <w:tc>
          <w:tcPr>
            <w:tcW w:type="dxa" w:w="3175"/>
          </w:tcPr>
          <w:p>
            <w:pPr>
              <w:spacing w:after="30" w:line="252" w:lineRule="auto"/>
            </w:pPr>
            <w:r>
              <w:rPr>
                <w:b w:val="0"/>
                <w:i w:val="0"/>
                <w:sz w:val="17"/>
              </w:rPr>
              <w:t>If a system warned you about a dangerous combination with the reason and source, would you trust it? What would it take for you to trust it?</w:t>
            </w:r>
          </w:p>
        </w:tc>
        <w:tc>
          <w:tcPr>
            <w:tcW w:type="dxa" w:w="6009"/>
          </w:tcPr>
          <w:p>
            <w:pPr>
              <w:spacing w:after="30" w:line="252" w:lineRule="auto"/>
            </w:pPr>
            <w:r>
              <w:rPr>
                <w:b w:val="0"/>
                <w:i w:val="0"/>
                <w:sz w:val="17"/>
              </w:rPr>
              <w:t>Yes, if the warning comes with a clear reason and a link to the source: the package insert, a clinical protocol or a recognised interaction database. Without a source I would double-check myself, and then the system has no point. It is important that the system does not make basic mistakes and does not raise false alarms for every drug. Trust will come after I compare its warnings with the reference books several times and see that they match. The final decision must still remain with the physician.</w:t>
            </w:r>
          </w:p>
        </w:tc>
      </w:tr>
      <w:tr>
        <w:trPr>
          <w:cantSplit w:val="true"/>
        </w:trPr>
        <w:tc>
          <w:tcPr>
            <w:tcW w:type="dxa" w:w="454"/>
            <w:shd w:val="clear" w:color="auto" w:fill="F4F1F2"/>
          </w:tcPr>
          <w:p>
            <w:pPr>
              <w:spacing w:after="30" w:line="252" w:lineRule="auto"/>
            </w:pPr>
            <w:r>
              <w:rPr>
                <w:b w:val="0"/>
                <w:i w:val="0"/>
                <w:sz w:val="17"/>
              </w:rPr>
              <w:t>10</w:t>
            </w:r>
          </w:p>
        </w:tc>
        <w:tc>
          <w:tcPr>
            <w:tcW w:type="dxa" w:w="3175"/>
            <w:shd w:val="clear" w:color="auto" w:fill="F4F1F2"/>
          </w:tcPr>
          <w:p>
            <w:pPr>
              <w:spacing w:after="30" w:line="252" w:lineRule="auto"/>
            </w:pPr>
            <w:r>
              <w:rPr>
                <w:b w:val="0"/>
                <w:i w:val="0"/>
                <w:sz w:val="17"/>
              </w:rPr>
              <w:t>Which warnings would you want to see, and which would only get in the way? Have you experienced “alert fatigue” in existing systems?</w:t>
            </w:r>
          </w:p>
        </w:tc>
        <w:tc>
          <w:tcPr>
            <w:tcW w:type="dxa" w:w="6009"/>
            <w:shd w:val="clear" w:color="auto" w:fill="F4F1F2"/>
          </w:tcPr>
          <w:p>
            <w:pPr>
              <w:spacing w:after="30" w:line="252" w:lineRule="auto"/>
            </w:pPr>
            <w:r>
              <w:rPr>
                <w:b w:val="0"/>
                <w:i w:val="0"/>
                <w:sz w:val="17"/>
              </w:rPr>
              <w:t>I want to see dangerous interactions, allergies, contraindications by diagnosis and pregnancy, duplication of the active substance and dose exceedance. Warnings about minor interactions and pop-ups that must be closed for every drug get in the way. Our information system has no drug warnings, but it has mandatory fields and reminders that everyone closes without reading, so the effect is familiar. It needs to be split by risk level: red cannot be skipped, yellow can be reviewed if desired.</w:t>
            </w:r>
          </w:p>
        </w:tc>
      </w:tr>
      <w:tr>
        <w:trPr>
          <w:cantSplit w:val="true"/>
        </w:trPr>
        <w:tc>
          <w:tcPr>
            <w:tcW w:type="dxa" w:w="454"/>
          </w:tcPr>
          <w:p>
            <w:pPr>
              <w:spacing w:after="30" w:line="252" w:lineRule="auto"/>
            </w:pPr>
            <w:r>
              <w:rPr>
                <w:b w:val="0"/>
                <w:i w:val="0"/>
                <w:sz w:val="17"/>
              </w:rPr>
              <w:t>11</w:t>
            </w:r>
          </w:p>
        </w:tc>
        <w:tc>
          <w:tcPr>
            <w:tcW w:type="dxa" w:w="3175"/>
          </w:tcPr>
          <w:p>
            <w:pPr>
              <w:spacing w:after="30" w:line="252" w:lineRule="auto"/>
            </w:pPr>
            <w:r>
              <w:rPr>
                <w:b w:val="0"/>
                <w:i w:val="0"/>
                <w:sz w:val="17"/>
              </w:rPr>
              <w:t>What matters more to you: the system suggesting treatment options or only checking what you prescribed yourself?</w:t>
            </w:r>
          </w:p>
        </w:tc>
        <w:tc>
          <w:tcPr>
            <w:tcW w:type="dxa" w:w="6009"/>
          </w:tcPr>
          <w:p>
            <w:pPr>
              <w:spacing w:after="30" w:line="252" w:lineRule="auto"/>
            </w:pPr>
            <w:r>
              <w:rPr>
                <w:b w:val="0"/>
                <w:i w:val="0"/>
                <w:sz w:val="17"/>
              </w:rPr>
              <w:t>Checking what I prescribed is more important. Treatment options are useful as a hint, especially with allergy or intolerance when a substitute is needed, but the prescribing must be done by me and according to the protocol. If the system imposes a treatment scheme, doctors will see it as control rather than help. A good option: I enter the prescription, the system checks it and, if there is a problem, suggests one or two safe alternatives with justification.</w:t>
            </w:r>
          </w:p>
        </w:tc>
      </w:tr>
      <w:tr>
        <w:trPr>
          <w:cantSplit w:val="true"/>
        </w:trPr>
        <w:tc>
          <w:tcPr>
            <w:tcW w:type="dxa" w:w="454"/>
            <w:shd w:val="clear" w:color="auto" w:fill="F4F1F2"/>
          </w:tcPr>
          <w:p>
            <w:pPr>
              <w:spacing w:after="30" w:line="252" w:lineRule="auto"/>
            </w:pPr>
            <w:r>
              <w:rPr>
                <w:b w:val="0"/>
                <w:i w:val="0"/>
                <w:sz w:val="17"/>
              </w:rPr>
              <w:t>12</w:t>
            </w:r>
          </w:p>
        </w:tc>
        <w:tc>
          <w:tcPr>
            <w:tcW w:type="dxa" w:w="3175"/>
            <w:shd w:val="clear" w:color="auto" w:fill="F4F1F2"/>
          </w:tcPr>
          <w:p>
            <w:pPr>
              <w:spacing w:after="30" w:line="252" w:lineRule="auto"/>
            </w:pPr>
            <w:r>
              <w:rPr>
                <w:b w:val="0"/>
                <w:i w:val="0"/>
                <w:sz w:val="17"/>
              </w:rPr>
              <w:t>What should the explanation of a warning look like so that you can decide quickly: risk level, link to the source, replacement recommendation?</w:t>
            </w:r>
          </w:p>
        </w:tc>
        <w:tc>
          <w:tcPr>
            <w:tcW w:type="dxa" w:w="6009"/>
            <w:shd w:val="clear" w:color="auto" w:fill="F4F1F2"/>
          </w:tcPr>
          <w:p>
            <w:pPr>
              <w:spacing w:after="30" w:line="252" w:lineRule="auto"/>
            </w:pPr>
            <w:r>
              <w:rPr>
                <w:b w:val="0"/>
                <w:i w:val="0"/>
                <w:sz w:val="17"/>
              </w:rPr>
              <w:t>One line: risk level in colour, which two drugs conflict and what the mechanism is, for example “increases the risk of gastric bleeding”. Below it a link to the source. Then what to do: stop, replace with a specific drug, or monitor a parameter. Everything should fit on one screen without scrolling. And there must be an “accept risk” button with a short comment, because sometimes the combination is deliberately justified.</w:t>
            </w:r>
          </w:p>
        </w:tc>
      </w:tr>
      <w:tr>
        <w:trPr>
          <w:cantSplit w:val="true"/>
        </w:trPr>
        <w:tc>
          <w:tcPr>
            <w:tcW w:type="dxa" w:w="454"/>
          </w:tcPr>
          <w:p>
            <w:pPr>
              <w:spacing w:after="30" w:line="252" w:lineRule="auto"/>
            </w:pPr>
            <w:r>
              <w:rPr>
                <w:b w:val="0"/>
                <w:i w:val="0"/>
                <w:sz w:val="17"/>
              </w:rPr>
              <w:t>13</w:t>
            </w:r>
          </w:p>
        </w:tc>
        <w:tc>
          <w:tcPr>
            <w:tcW w:type="dxa" w:w="3175"/>
          </w:tcPr>
          <w:p>
            <w:pPr>
              <w:spacing w:after="30" w:line="252" w:lineRule="auto"/>
            </w:pPr>
            <w:r>
              <w:rPr>
                <w:b w:val="0"/>
                <w:i w:val="0"/>
                <w:sz w:val="17"/>
              </w:rPr>
              <w:t>Where would it be convenient for you to work with such a system: inside the medical information system, a separate web application, a mobile application?</w:t>
            </w:r>
          </w:p>
        </w:tc>
        <w:tc>
          <w:tcPr>
            <w:tcW w:type="dxa" w:w="6009"/>
          </w:tcPr>
          <w:p>
            <w:pPr>
              <w:spacing w:after="30" w:line="252" w:lineRule="auto"/>
            </w:pPr>
            <w:r>
              <w:rPr>
                <w:b w:val="0"/>
                <w:i w:val="0"/>
                <w:sz w:val="17"/>
              </w:rPr>
              <w:t>Ideally inside our clinic's information system, so the patient does not have to be entered a second time. I understand that integration is difficult, so at the first stage a web application where I can quickly paste the drug list, diagnoses and allergies or upload a discharge summary would be fine. A mobile version is convenient for a quick check of a pair of drugs, for example when a student asks in the corridor whether two medicines can be combined. For the main work at the appointment a computer is needed.</w:t>
            </w:r>
          </w:p>
        </w:tc>
      </w:tr>
      <w:tr>
        <w:trPr>
          <w:cantSplit w:val="true"/>
        </w:trPr>
        <w:tc>
          <w:tcPr>
            <w:tcW w:type="dxa" w:w="454"/>
            <w:shd w:val="clear" w:color="auto" w:fill="F4F1F2"/>
          </w:tcPr>
          <w:p>
            <w:pPr>
              <w:spacing w:after="30" w:line="252" w:lineRule="auto"/>
            </w:pPr>
            <w:r>
              <w:rPr>
                <w:b w:val="0"/>
                <w:i w:val="0"/>
                <w:sz w:val="17"/>
              </w:rPr>
              <w:t>14</w:t>
            </w:r>
          </w:p>
        </w:tc>
        <w:tc>
          <w:tcPr>
            <w:tcW w:type="dxa" w:w="3175"/>
            <w:shd w:val="clear" w:color="auto" w:fill="F4F1F2"/>
          </w:tcPr>
          <w:p>
            <w:pPr>
              <w:spacing w:after="30" w:line="252" w:lineRule="auto"/>
            </w:pPr>
            <w:r>
              <w:rPr>
                <w:b w:val="0"/>
                <w:i w:val="0"/>
                <w:sz w:val="17"/>
              </w:rPr>
              <w:t>How often do patients break the dosing schedule, and would a dosing schedule with reminders help? Would you want to see whether the patient follows the schedule?</w:t>
            </w:r>
          </w:p>
        </w:tc>
        <w:tc>
          <w:tcPr>
            <w:tcW w:type="dxa" w:w="6009"/>
            <w:shd w:val="clear" w:color="auto" w:fill="F4F1F2"/>
          </w:tcPr>
          <w:p>
            <w:pPr>
              <w:spacing w:after="30" w:line="252" w:lineRule="auto"/>
            </w:pPr>
            <w:r>
              <w:rPr>
                <w:b w:val="0"/>
                <w:i w:val="0"/>
                <w:sz w:val="17"/>
              </w:rPr>
              <w:t>Students break the schedule all the time: they stop an antibiotic on the third day when they feel better, miss doses because of classes and deadlines, take everything at once in the evening. A phone schedule with reminders would suit them perfectly, since they already live in apps. For older staff a printout is better. Seeing adherence would be useful, at least as a simple indicator before a follow-up visit, but without extra reporting for the doctor.</w:t>
            </w:r>
          </w:p>
        </w:tc>
      </w:tr>
      <w:tr>
        <w:trPr>
          <w:cantSplit w:val="true"/>
        </w:trPr>
        <w:tc>
          <w:tcPr>
            <w:tcW w:type="dxa" w:w="454"/>
          </w:tcPr>
          <w:p>
            <w:pPr>
              <w:spacing w:after="30" w:line="252" w:lineRule="auto"/>
            </w:pPr>
            <w:r>
              <w:rPr>
                <w:b w:val="0"/>
                <w:i w:val="0"/>
                <w:sz w:val="17"/>
              </w:rPr>
              <w:t>15</w:t>
            </w:r>
          </w:p>
        </w:tc>
        <w:tc>
          <w:tcPr>
            <w:tcW w:type="dxa" w:w="3175"/>
          </w:tcPr>
          <w:p>
            <w:pPr>
              <w:spacing w:after="30" w:line="252" w:lineRule="auto"/>
            </w:pPr>
            <w:r>
              <w:rPr>
                <w:b w:val="0"/>
                <w:i w:val="0"/>
                <w:sz w:val="17"/>
              </w:rPr>
              <w:t>What must such a system have for you to start using it, and what would stop you?</w:t>
            </w:r>
          </w:p>
        </w:tc>
        <w:tc>
          <w:tcPr>
            <w:tcW w:type="dxa" w:w="6009"/>
          </w:tcPr>
          <w:p>
            <w:pPr>
              <w:spacing w:after="30" w:line="252" w:lineRule="auto"/>
            </w:pPr>
            <w:r>
              <w:rPr>
                <w:b w:val="0"/>
                <w:i w:val="0"/>
                <w:sz w:val="17"/>
              </w:rPr>
              <w:t>Must have: a database of drugs actually available in Kazakhstan's pharmacies with brand names in Russian, quick entry without retyping the history, an explanation of every warning with a source, fast performance within a few seconds, and account of allergies and chronic conditions. What would stop me: having to re-enter all patient data, many false warnings, unclear responsibility for a system error, and patient data leaving the clinic. For our students a dosing schedule with reminders would be a separate plus.</w:t>
            </w:r>
          </w:p>
        </w:tc>
      </w:tr>
    </w:tbl>
    <w:p>
      <w:pPr>
        <w:spacing w:after="40"/>
      </w:pP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7A7078"/>
        <w:sz w:val="17"/>
      </w:rPr>
      <w:t xml:space="preserve">Astana IT University · Diploma project MedGuard   ·   page </w:t>
    </w:r>
    <w:r>
      <w:rPr>
        <w:color w:val="7A70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7A7078"/>
        <w:sz w:val="17"/>
      </w:rPr>
      <w:t>MedGuard · Section 2 · Evidence of relevance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6B1E3A"/>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Calibri"/>
      <w:b/>
      <w:bCs/>
      <w:color w:val="1B2236"/>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6B1E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Evidence of Relevance</dc:title>
  <dc:subject/>
  <dc:creator>Salemkan Aknur</dc:creator>
  <cp:keywords/>
  <dc:description/>
  <cp:lastModifiedBy>Salemkan Aknur</cp:lastModifiedBy>
  <cp:revision>1</cp:revision>
  <dcterms:created xsi:type="dcterms:W3CDTF">2013-12-23T23:15:00Z</dcterms:created>
  <dcterms:modified xsi:type="dcterms:W3CDTF">2013-12-23T23:15:00Z</dcterms:modified>
  <cp:category/>
</cp:coreProperties>
</file>