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ICT111 Cybersecurity Fundamentals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Assessment Task 3</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Cyberfraud Risk Assessment of First Abu Dhabi Bank</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Group written report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Akan Mukhametgali Student ID: 36032361</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Raysa Khan Student ID: </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Submission date: 2 July 2026</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Approximate report word count excluding cover page, tables, references and appendices but idk actually cuz grammarly says 1,045 but copilot says 1,034</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20" w:line="276"/>
        <w:ind w:right="0" w:left="0" w:firstLine="0"/>
        <w:jc w:val="left"/>
        <w:rPr>
          <w:rFonts w:ascii="Arial" w:hAnsi="Arial" w:cs="Arial" w:eastAsia="Arial"/>
          <w:color w:val="auto"/>
          <w:spacing w:val="0"/>
          <w:position w:val="0"/>
          <w:sz w:val="22"/>
          <w:shd w:fill="auto" w:val="clear"/>
        </w:rPr>
      </w:pP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usually known as FAB, was selected because it is a major United Arab Emirates financial institution with a visible public presence across its website, online banking support pages, investor relations material, careers pages, fraud guidance, media releases and social platforms. That public presence is necessary for customers, investors, applicants and regulators, but it also creates usable background information for cyberfraud. This report assesses how public identification information about FAB could support phishing, smishing, fake websites, business email compromise, social engineering, ransomware pretexting and data breach attempts. The assessment does not claim that FAB systems were technically vulnerable. It evaluates exposure created by public information and the controls that reduce misuse.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assessment used passive open source research only. The source set included FAB public web pages, contact and support information, security guidance, careers information, investor relations material, public social media references and current cybercrime literature. No vulnerability scanning, port scanning, account testing, credential searching, private data collection or interaction with FAB systems was performed. Each finding was treated through a simple chain: public information, possible misuse, fraud scenario, likelihood, impact and mitigation. This keeps the work within the academic cyberfraud scope and avoids turning a digital footprint assessment into unauthorised technical testing.</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FAB's digital footprint begins with its official brand surface. The public website exposes legitimate information such as product categories, online service language, customer assistance routes, visual identity and fraud education. These items are low sensitivity when viewed separately because a bank must make them visible. Their fraud value appears when they are copied into a believable phishing message or a lookalike website. APWG reported 971,181 phishing attacks in the first quarter of 2026, with impersonation making up a large share of observed social media threats. That does not prove FAB was specifically attacked, but it supports a high likelihood rating for brand impersonation against banks and other recognisable institutions.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 support information creates a second exposure path. FAB publishes contact routes, callback forms, investor relations contact details and fraud reporting addresses. These are useful for legitimate service, but they also give criminals accurate language for fake support calls, WhatsApp messages, emails and SMS campaigns. FAB's own security pages warn customers not to share account details or one time passwords with anyone contacting them through SMS, WhatsApp or email while pretending to be FAB. That warning is evidence that the bank recognises social engineering as a real customer-facing threat. The risk is high because fraudsters do not need to breach a system first; they need the victim to trust a message that looks consistent with public bank communications.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Careers and professional networking information create a different risk. Public job pages and LinkedIn-style organisational updates can reveal departments, recruitment language and employee roles. FAB's careers page warns that legitimate job offers will not require payment for visa, medical or ticket processing and that suspicious offers should be reported. This makes recruitment fraud a medium risk: it may target applicants more than core banking operations, yet it can still collect personal information, deliver malicious links or damage the bank's reputation. Technical details in job advertisements should therefore be limited to what applicants genuinely need, while recruitment communication should remain tied to official channels.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Investor relations, governance and media information are more sensitive because they support authority-based fraud. FAB publishes annual reports, financial results, investor presentations, financial-calendar material and corporate announcements. Such transparency is expected for a listed financial institution, but it also helps an attacker build a business email compromise pretext. A fake message can refer to a real reporting date, a real executive role, a public business line or a recent announcement to create pressure for an urgent payment or document request. The FBI IC3 describes BEC as a scam affecting organisations that perform legitimate transfer of funds and recommends secondary channels or two-factor verification for changes in account information. For FAB, BEC likelihood is medium, but impact is high because successful payment fraud can create direct financial loss and reputational harm.</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Ransomware and data breach risk should be framed carefully. This assessment did not find or test any technical weakness in FAB infrastructure. The realistic connection is indirect. Public organisational information can make a phishing lure more specific, which can help an attacker seek initial access through stolen credentials or malware delivery. Verizon's 2025 breach reporting describes ransomware, social engineering, credential abuse and third-party involvement as continuing breach themes. In this assessment, ransomware is rated low to medium in likelihood from public-footprint evidence alone, but high in impact if initial access were obtained. Data breach risk is medium to high because aggregated public information can support credential targeting, account takeover attempts, vendor impersonation and social engineering against staff or customers.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strongest finding is the aggregation effect. A logo, phone number, job title, executive role or press release is usually not dangerous alone. Risk increases when those separate details are combined into a single narrative that sounds familiar, current and authoritative. A criminal could combine FAB branding, a real service topic, a public fraud warning and a convincing request for action. That combination can reduce suspicion even when each source was legitimate and openly published. The most effective controls therefore do not require hiding all public information. Better controls are verified communication channels, clear customer warnings, phishing resistant multi-factor authentication for sensitive accounts, DMARC, SPF and DKIM enforcement, lookalike-domain monitoring, fake-site takedown procedures, staff training, recruitment fraud warnings and mandatory out-of-band verification for payment or bank-detail changes.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FAB's digital footprint is broad because a major bank must serve customers, investors, applicants and regulators online. The main cyberfraud exposure is not one isolated disclosure, but the combination of public information into credible phishing, smishing, fake support, recruitment fraud and BEC scenarios. Ransomware and data breach risk are downstream risks that become more plausible if social engineering produces initial access or credential compromise. The main recommendations are to maintain strong email authentication, monitor lookalike domains and fake applications, require independent verification for payment instructions, minimise unnecessary technical detail in public recruitment material, and continue clear staff and customer awareness campaigns.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Risk matrix</w:t>
      </w:r>
    </w:p>
    <w:tbl>
      <w:tblPr/>
      <w:tblGrid>
        <w:gridCol w:w="1440"/>
        <w:gridCol w:w="1440"/>
        <w:gridCol w:w="1440"/>
        <w:gridCol w:w="1440"/>
        <w:gridCol w:w="1440"/>
        <w:gridCol w:w="1440"/>
      </w:tblGrid>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Risk scenario</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Main public input</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Likelihood</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Impact</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Overall risk</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Primary control</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Brand impersonation phishing and smishing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Brand identity, product language, customer service context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Domain monitoring, customer education, DMARC, SPF and DKIM</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Fake customer support and OTP harvesting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Contact routes, fraud reporting language, support categories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Caller verification, clear public warnings, transaction alerts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Business email compromise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Investor relations, governance context, reporting dates, executive roles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Dual approval and out-of-band payment verification</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Recruitment fraud</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Careers page, hiring language, public job references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Official recruitment channel and applicant warnings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Ransomware pretexting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Organisational context used in tailored phishing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Low to 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 to 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Phishing resistant MFA, filtering, backups, least privilege</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OSINT-assisted data breach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Aggregated public information and credential targeting context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MFA, monitoring, credential abuse detection, third-party controls</w:t>
            </w:r>
          </w:p>
        </w:tc>
      </w:tr>
    </w:tbl>
    <w:p>
      <w:pPr>
        <w:spacing w:before="0" w:after="120" w:line="276"/>
        <w:ind w:right="0" w:left="0" w:firstLine="0"/>
        <w:jc w:val="left"/>
        <w:rPr>
          <w:rFonts w:ascii="Arial" w:hAnsi="Arial" w:cs="Arial" w:eastAsia="Arial"/>
          <w:color w:val="auto"/>
          <w:spacing w:val="0"/>
          <w:position w:val="0"/>
          <w:sz w:val="22"/>
          <w:shd w:fill="auto" w:val="clear"/>
        </w:rPr>
      </w:pP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References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Anti-Phishing Working Group. (2026). Phishing Activity Trends Report: First Quarter 2026. Retrieved July 21, 2026, from </w:t>
      </w: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https://apwg.org/trendreports/</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Dawkins, S., &amp; Jacobs, J. (2023). NIST Phish Scale User Guide. National Institute of Standards and Technology. </w:t>
      </w:r>
      <w:hyperlink xmlns:r="http://schemas.openxmlformats.org/officeDocument/2006/relationships" r:id="docRId1">
        <w:r>
          <w:rPr>
            <w:rFonts w:ascii="Arial" w:hAnsi="Arial" w:cs="Arial" w:eastAsia="Arial"/>
            <w:color w:val="0000FF"/>
            <w:spacing w:val="0"/>
            <w:position w:val="0"/>
            <w:sz w:val="22"/>
            <w:u w:val="single"/>
            <w:shd w:fill="auto" w:val="clear"/>
          </w:rPr>
          <w:t xml:space="preserve">https://doi.org/10.6028/NIST.TN.2276</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Federal Bureau of Investigation Internet Crime Complaint Center. (2026). Business Email Compromise. Retrieved July 21, 2026, from </w:t>
      </w:r>
      <w:hyperlink xmlns:r="http://schemas.openxmlformats.org/officeDocument/2006/relationships" r:id="docRId2">
        <w:r>
          <w:rPr>
            <w:rFonts w:ascii="Arial" w:hAnsi="Arial" w:cs="Arial" w:eastAsia="Arial"/>
            <w:color w:val="0000FF"/>
            <w:spacing w:val="0"/>
            <w:position w:val="0"/>
            <w:sz w:val="22"/>
            <w:u w:val="single"/>
            <w:shd w:fill="auto" w:val="clear"/>
          </w:rPr>
          <w:t xml:space="preserve">https://www.ic3.gov/CrimeInfo/BEC</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(2026a). Contact and Support. Retrieved July 21, 2026, from </w:t>
      </w:r>
      <w:hyperlink xmlns:r="http://schemas.openxmlformats.org/officeDocument/2006/relationships" r:id="docRId3">
        <w:r>
          <w:rPr>
            <w:rFonts w:ascii="Arial" w:hAnsi="Arial" w:cs="Arial" w:eastAsia="Arial"/>
            <w:color w:val="0000FF"/>
            <w:spacing w:val="0"/>
            <w:position w:val="0"/>
            <w:sz w:val="22"/>
            <w:u w:val="single"/>
            <w:shd w:fill="auto" w:val="clear"/>
          </w:rPr>
          <w:t xml:space="preserve">https://www.bankfab.com/en-ae/contact-us</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(2026b). Careers. Retrieved July 21, 2026, from </w:t>
      </w:r>
      <w:hyperlink xmlns:r="http://schemas.openxmlformats.org/officeDocument/2006/relationships" r:id="docRId4">
        <w:r>
          <w:rPr>
            <w:rFonts w:ascii="Arial" w:hAnsi="Arial" w:cs="Arial" w:eastAsia="Arial"/>
            <w:color w:val="0000FF"/>
            <w:spacing w:val="0"/>
            <w:position w:val="0"/>
            <w:sz w:val="22"/>
            <w:u w:val="single"/>
            <w:shd w:fill="auto" w:val="clear"/>
          </w:rPr>
          <w:t xml:space="preserve">https://www.bankfab.com/en-ae/about-fab/careers</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(2026c). Security and Certifications. Retrieved July 21, 2026, from </w:t>
      </w:r>
      <w:hyperlink xmlns:r="http://schemas.openxmlformats.org/officeDocument/2006/relationships" r:id="docRId5">
        <w:r>
          <w:rPr>
            <w:rFonts w:ascii="Arial" w:hAnsi="Arial" w:cs="Arial" w:eastAsia="Arial"/>
            <w:color w:val="0000FF"/>
            <w:spacing w:val="0"/>
            <w:position w:val="0"/>
            <w:sz w:val="22"/>
            <w:u w:val="single"/>
            <w:shd w:fill="auto" w:val="clear"/>
          </w:rPr>
          <w:t xml:space="preserve">https://www.bankfab.com/en-ae/about-fab/security-and-certifications</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(2026d). Fraud and Security. Retrieved July 21, 2026, from </w:t>
      </w:r>
      <w:hyperlink xmlns:r="http://schemas.openxmlformats.org/officeDocument/2006/relationships" r:id="docRId6">
        <w:r>
          <w:rPr>
            <w:rFonts w:ascii="Arial" w:hAnsi="Arial" w:cs="Arial" w:eastAsia="Arial"/>
            <w:color w:val="0000FF"/>
            <w:spacing w:val="0"/>
            <w:position w:val="0"/>
            <w:sz w:val="22"/>
            <w:u w:val="single"/>
            <w:shd w:fill="auto" w:val="clear"/>
          </w:rPr>
          <w:t xml:space="preserve">https://www.bankfab.com/en-ae/personal/help-and-support/fraud-and-security</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Abu Dhabi Bank. (2026e). Investor Relations. Retrieved July 21, 2026, from </w:t>
      </w:r>
      <w:hyperlink xmlns:r="http://schemas.openxmlformats.org/officeDocument/2006/relationships" r:id="docRId7">
        <w:r>
          <w:rPr>
            <w:rFonts w:ascii="Arial" w:hAnsi="Arial" w:cs="Arial" w:eastAsia="Arial"/>
            <w:color w:val="0000FF"/>
            <w:spacing w:val="0"/>
            <w:position w:val="0"/>
            <w:sz w:val="22"/>
            <w:u w:val="single"/>
            <w:shd w:fill="auto" w:val="clear"/>
          </w:rPr>
          <w:t xml:space="preserve">https://www.bankfab.com/en-ae/about-fab/investor-relations</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Nightingale, J. S. (2017). Email Authentication Mechanisms: DMARC, SPF and DKIM. National Institute of Standards and Technology. </w:t>
      </w:r>
      <w:hyperlink xmlns:r="http://schemas.openxmlformats.org/officeDocument/2006/relationships" r:id="docRId8">
        <w:r>
          <w:rPr>
            <w:rFonts w:ascii="Arial" w:hAnsi="Arial" w:cs="Arial" w:eastAsia="Arial"/>
            <w:color w:val="0000FF"/>
            <w:spacing w:val="0"/>
            <w:position w:val="0"/>
            <w:sz w:val="22"/>
            <w:u w:val="single"/>
            <w:shd w:fill="auto" w:val="clear"/>
          </w:rPr>
          <w:t xml:space="preserve">https://doi.org/10.6028/NIST.TN.1945</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Rose, S., Nightingale, J., Garfinkel, S., &amp; Chandramouli, R. (2019). Trustworthy Email. National Institute of Standards and Technology Special Publication 800-177 Revision 1. </w:t>
      </w:r>
      <w:hyperlink xmlns:r="http://schemas.openxmlformats.org/officeDocument/2006/relationships" r:id="docRId9">
        <w:r>
          <w:rPr>
            <w:rFonts w:ascii="Arial" w:hAnsi="Arial" w:cs="Arial" w:eastAsia="Arial"/>
            <w:color w:val="0000FF"/>
            <w:spacing w:val="0"/>
            <w:position w:val="0"/>
            <w:sz w:val="22"/>
            <w:u w:val="single"/>
            <w:shd w:fill="auto" w:val="clear"/>
          </w:rPr>
          <w:t xml:space="preserve">https://doi.org/10.6028/NIST.SP.800-177r1</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Verizon. (2025). 2025 Data Breach Investigations Report regional and global findings. Retrieved July 21, 2026, from </w:t>
      </w:r>
      <w:hyperlink xmlns:r="http://schemas.openxmlformats.org/officeDocument/2006/relationships" r:id="docRId10">
        <w:r>
          <w:rPr>
            <w:rFonts w:ascii="Arial" w:hAnsi="Arial" w:cs="Arial" w:eastAsia="Arial"/>
            <w:color w:val="0000FF"/>
            <w:spacing w:val="0"/>
            <w:position w:val="0"/>
            <w:sz w:val="22"/>
            <w:u w:val="single"/>
            <w:shd w:fill="auto" w:val="clear"/>
          </w:rPr>
          <w:t xml:space="preserve">https://www.verizon.com/about/news/2025-data-breach-investigations-report-emea</w:t>
        </w:r>
      </w:hyperlink>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Appendix A Evidence log summary</w:t>
      </w:r>
    </w:p>
    <w:tbl>
      <w:tblPr/>
      <w:tblGrid>
        <w:gridCol w:w="1440"/>
        <w:gridCol w:w="1440"/>
        <w:gridCol w:w="1440"/>
        <w:gridCol w:w="1440"/>
        <w:gridCol w:w="1440"/>
        <w:gridCol w:w="1440"/>
      </w:tblGrid>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Evidence ID</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Public source</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Observed information</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Sensitivity</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Risk relevance</w:t>
            </w:r>
          </w:p>
        </w:tc>
        <w:tc>
          <w:tcPr>
            <w:tcW w:w="14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Use in report</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E01</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FAB Contact and Support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Public contact channels, callback form, investor relations and media email contacts, head office location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Can support fake support and impersonation narratives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Customer support and social engineering analysis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E02</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FAB Security and Certifications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Warnings about OTP sharing, SMS, WhatsApp and email impersonation, fraud reporting channels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 for customers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Shows recognised customer-facing social engineering patterns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Phishing and smishing analysis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E03</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FAB Fraud and Security</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Warnings about fake websites, suspicious payment links and card, account or OTP disclosure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High for customers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fake website and credential theft scenario</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Phishing and fraudulent website analysis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E04</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FAB Careers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Recruitment information and warning that legitimate offers do not require fees or non-official channels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recruitment fraud and applicant phishing scenario</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Recruitment risk analysis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E05</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FAB Investor Relations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Annual report, Q1 2026 results, investor presentations, financial calendar and AGM information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Medium to 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Can support BEC and investor-themed fraud narratives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BEC and aggregation effect analysis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E06</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APWG Q1 2026</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Phishing growth and social media impersonation trends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Low aggregate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likelihood context for phishing and impersonation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Risk rating support</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E07</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FBI IC3 BEC guidance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BEC definition and secondary-channel verification advice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Low aggregate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BEC scenario and mitigation selection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BEC controls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E08</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NIST email guidance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DMARC, SPF and DKIM described as email authentication mechanisms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Low aggregate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email-authentication recommendation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Mitigations</w:t>
            </w:r>
          </w:p>
        </w:tc>
      </w:tr>
      <w:tr>
        <w:trPr>
          <w:trHeight w:val="1" w:hRule="atLeast"/>
          <w:jc w:val="center"/>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E09</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Verizon 2025 DBIR findings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Ransomware, phishing, human element, credential abuse and third-party involvement discussed as breach themes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Low aggregate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Supports downstream breach and ransomware framing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Ransomware and data breach analysis</w:t>
            </w:r>
          </w:p>
        </w:tc>
      </w:tr>
    </w:tbl>
    <w:p>
      <w:pPr>
        <w:spacing w:before="0" w:after="12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bankfab.com/en-ae/contact-us" Id="docRId3" Type="http://schemas.openxmlformats.org/officeDocument/2006/relationships/hyperlink" /><Relationship TargetMode="External" Target="https://www.bankfab.com/en-ae/about-fab/investor-relations" Id="docRId7" Type="http://schemas.openxmlformats.org/officeDocument/2006/relationships/hyperlink" /><Relationship TargetMode="External" Target="https://www.verizon.com/about/news/2025-data-breach-investigations-report-emea" Id="docRId10" Type="http://schemas.openxmlformats.org/officeDocument/2006/relationships/hyperlink" /><Relationship TargetMode="External" Target="https://www.ic3.gov/CrimeInfo/BEC" Id="docRId2" Type="http://schemas.openxmlformats.org/officeDocument/2006/relationships/hyperlink" /><Relationship TargetMode="External" Target="https://www.bankfab.com/en-ae/personal/help-and-support/fraud-and-security" Id="docRId6" Type="http://schemas.openxmlformats.org/officeDocument/2006/relationships/hyperlink" /><Relationship TargetMode="External" Target="https://doi.org/10.6028/NIST.TN.2276" Id="docRId1" Type="http://schemas.openxmlformats.org/officeDocument/2006/relationships/hyperlink" /><Relationship Target="numbering.xml" Id="docRId11" Type="http://schemas.openxmlformats.org/officeDocument/2006/relationships/numbering" /><Relationship TargetMode="External" Target="https://www.bankfab.com/en-ae/about-fab/security-and-certifications" Id="docRId5" Type="http://schemas.openxmlformats.org/officeDocument/2006/relationships/hyperlink" /><Relationship TargetMode="External" Target="https://doi.org/10.6028/NIST.SP.800-177r1" Id="docRId9" Type="http://schemas.openxmlformats.org/officeDocument/2006/relationships/hyperlink" /><Relationship TargetMode="External" Target="https://apwg.org/trendreports/" Id="docRId0" Type="http://schemas.openxmlformats.org/officeDocument/2006/relationships/hyperlink" /><Relationship Target="styles.xml" Id="docRId12" Type="http://schemas.openxmlformats.org/officeDocument/2006/relationships/styles" /><Relationship TargetMode="External" Target="https://www.bankfab.com/en-ae/about-fab/careers" Id="docRId4" Type="http://schemas.openxmlformats.org/officeDocument/2006/relationships/hyperlink" /><Relationship TargetMode="External" Target="https://doi.org/10.6028/NIST.TN.1945" Id="docRId8" Type="http://schemas.openxmlformats.org/officeDocument/2006/relationships/hyperlink" /></Relationships>
</file>