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9800"/>
            <w:gridSpan w:val="2"/>
            <w:tcBorders>
              <w:top w:val="single" w:color="000000" w:sz="4"/>
              <w:left w:val="single" w:color="000000" w:sz="4"/>
              <w:bottom w:val="single" w:color="000000" w:sz="4"/>
              <w:right w:val="single" w:color="000000" w:sz="4"/>
            </w:tcBorders>
            <w:shd w:fill="D9D9D9" w:val="clear"/>
          </w:tcPr>
          <w:p>
            <w:pPr>
              <w:spacing w:after="100"/>
              <w:jc w:val="center"/>
            </w:pPr>
            <w:r>
              <w:rPr>
                <w:b/>
                <w:bCs/>
                <w:i w:val="false"/>
                <w:iCs w:val="false"/>
                <w:sz w:val="22"/>
                <w:szCs w:val="22"/>
              </w:rPr>
              <w:t xml:space="preserve">ΥΠΟΒΟΛΗ ΠΡΟΤΑΣΗΣ ΚΑΙΝΟΤΟΜΟΥ ΔΡΑΣΗΣ ΠΡΟΣ ΕΠ.ΕΣ. ΠΕΙΡΑΜΑΤΙΚΟΥ ΓΥΜΝΑΣΙΟΥ – Λ.Τ. [ΣΥΜΠΛΗΡΩΣΤΕ ΤΟ ΟΝΟΜΑ ΤΟΥ ΣΧΟΛΕΙΟΥ]</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Ονοματεπώνυμο εκπαιδευτικού/εκπαιδευτικών που εμπλέκονται στην Καινοτόμο Δράση</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[Ονοματεπώνυμο/α εκπαιδευτικού/-ών του Πειραματικού Γυμνασίου] — σε συνεργασία με [Ονοματεπώνυμο, Τμήμα/Πανεπιστήμιο]</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Κλάδος/Κλάδοι, Ειδικότητα/ες εκπαιδευτικού /εκπαιδευτικών που εμπλέκονται στην Καινοτόμο Δράση</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ΠΕ03, Μαθηματικοί (σχολείο) — Πανεπιστημιακός/-ή συνεργάτης/ερευνητής/-τρια Διδακτικής των Μαθηματικών [Τμήμα/Πανεπιστήμιο]</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Τίτλος της Καινοτόμου Δράσης</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bCs/>
                <w:i w:val="false"/>
                <w:iCs w:val="false"/>
                <w:sz w:val="22"/>
                <w:szCs w:val="22"/>
              </w:rPr>
              <w:t xml:space="preserve">Μαθαίνω τα Μαθηματικά με το Σώμα και τον Κώδικα: Ενσώματη και Ψηφιακή Μάθηση στη Γ΄ Γυμνασίου και Α΄ Λυκείου</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Θεματική/ές της Καινοτόμου Δράσης (όπως πρακτικές ασκήσεις φοιτητών, δειγματικές διδασκαλίες, προγράμματα καθοδήγησης, ενδοσχολική επιμόρφωση, πειραματική εφαρμογή νέων προγραμμάτων σπουδών, παραγωγή διδακτικού υλικού, διοργάνωση ημερίδας, διοργάνωση μαθητικών διαγωνισμών, δράσεις στο πλαίσιο αξιολόγησης διδακτικού υλικού ή αυτοαξιολόγησης της σχολικής μονάδας, δράσεις διάχυσης καλών εκπαιδευτικών πρακτικών σε σχολικές μονάδες όμορων σχολείων κ.λ.π.)</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Πειραματική εφαρμογή των νέων προγραμμάτων σπουδών στα Μαθηματικά Γ΄ Γυμνασίου και Α΄ Λυκείου· σχεδιασμός, ανάπτυξη και αξιολόγηση καινοτόμου ψηφιακού και ενσώματου διδακτικού υλικού σε συνεργασία σχολείου-πανεπιστημίου (πρακτική άσκηση/ερευνητική συνεργασία φοιτητών)· παραγωγή διδακτικού υλικού και διάχυση αποτελεσμάτων μέσω ημερίδας.</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Τάξη ή Τάξεις που συμμετέχουν στην Καινοτόμο Δράση</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Γ΄ Γυμνασίου και Α΄ Λυκείου</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Αναλυτική περιγραφή της Καινοτόμου Δράσης (στόχοι, περιεχόμενο)</w:t>
            </w:r>
          </w:p>
        </w:tc>
        <w:tc>
          <w:tcPr>
            <w:tcW w:type="dxa" w:w="6800"/>
            <w:tcBorders>
              <w:top w:val="single" w:color="000000" w:sz="4"/>
              <w:left w:val="single" w:color="000000" w:sz="4"/>
              <w:bottom w:val="single" w:color="000000" w:sz="4"/>
              <w:right w:val="single" w:color="000000" w:sz="4"/>
            </w:tcBorders>
            <w:vAlign w:val="center"/>
          </w:tcPr>
          <w:p>
            <w:pPr>
              <w:spacing w:after="100"/>
            </w:pPr>
            <w:r>
              <w:rPr>
                <w:sz w:val="22"/>
                <w:szCs w:val="22"/>
              </w:rPr>
              <w:t xml:space="preserve">Εφαρμογή των νέων προγραμμάτων σπουδών (ΙΕΠ, 2022 — Οδηγοί Εκπαιδευτικού Μαθηματικών Γυμνασίου/Λυκείου) στη Γ΄ Γυμνασίου και Α΄ Λυκείου, με έμφαση στις ενότητες που συνδέουν τα δύο επίπεδα (Αριθμοί-Άλγεβρα, Συναρτήσεις, Γεωμετρία-Τριγωνομετρία, Στοχαστικά Μαθηματικά). Η δράση αξιοποιεί τρεις συμπληρωματικές ψηφιακές/ενσώματες προσεγγίσεις:</w:t>
            </w:r>
          </w:p>
          <w:p>
            <w:pPr>
              <w:pStyle w:val="ListParagraph"/>
              <w:numPr>
                <w:ilvl w:val="0"/>
                <w:numId w:val="2"/>
              </w:numPr>
              <w:spacing w:after="80"/>
            </w:pPr>
            <w:r>
              <w:rPr>
                <w:i w:val="false"/>
                <w:iCs w:val="false"/>
                <w:sz w:val="22"/>
                <w:szCs w:val="22"/>
              </w:rPr>
              <w:t xml:space="preserve">Ενσώματη μάθηση με χρήση κάμερας (motion/pose tracking) — για κίνηση-συνάρτηση, γωνίες-τριγωνομετρία, μετασχηματισμούς και δεδομένα.</w:t>
            </w:r>
          </w:p>
          <w:p>
            <w:pPr>
              <w:pStyle w:val="ListParagraph"/>
              <w:numPr>
                <w:ilvl w:val="0"/>
                <w:numId w:val="2"/>
              </w:numPr>
              <w:spacing w:after="80"/>
            </w:pPr>
            <w:r>
              <w:rPr>
                <w:i w:val="false"/>
                <w:iCs w:val="false"/>
                <w:sz w:val="22"/>
                <w:szCs w:val="22"/>
              </w:rPr>
              <w:t xml:space="preserve">Δυναμικό λογισμικό GeoGebra — για διερεύνηση γεωμετρικών/αλγεβρικών εννοιών.</w:t>
            </w:r>
          </w:p>
          <w:p>
            <w:pPr>
              <w:pStyle w:val="ListParagraph"/>
              <w:numPr>
                <w:ilvl w:val="0"/>
                <w:numId w:val="2"/>
              </w:numPr>
              <w:spacing w:after="80"/>
            </w:pPr>
            <w:r>
              <w:rPr>
                <w:i w:val="false"/>
                <w:iCs w:val="false"/>
                <w:sz w:val="22"/>
                <w:szCs w:val="22"/>
              </w:rPr>
              <w:t xml:space="preserve">Διαδραστικά διαδικτυακά εργαλεία (Node.js) — π.χ. πρώτοι αριθμοί, νευρωνικά δίκτυα, πείραμα Buffon, και νέα εργαλεία προσαρμοσμένα στην ύλη.</w:t>
            </w:r>
          </w:p>
          <w:p>
            <w:pPr>
              <w:spacing w:after="100"/>
            </w:pPr>
            <w:r>
              <w:rPr>
                <w:sz w:val="22"/>
                <w:szCs w:val="22"/>
              </w:rPr>
              <w:t xml:space="preserve">Βασικοί στόχοι:</w:t>
            </w:r>
          </w:p>
          <w:p>
            <w:pPr>
              <w:pStyle w:val="ListParagraph"/>
              <w:numPr>
                <w:ilvl w:val="0"/>
                <w:numId w:val="2"/>
              </w:numPr>
              <w:spacing w:after="80"/>
            </w:pPr>
            <w:r>
              <w:rPr>
                <w:i/>
                <w:iCs/>
                <w:sz w:val="22"/>
                <w:szCs w:val="22"/>
              </w:rPr>
              <w:t xml:space="preserve">Ανάπτυξη δημιουργικής, κριτικής και αναστοχαστικής σκέψης.</w:t>
            </w:r>
          </w:p>
          <w:p>
            <w:pPr>
              <w:pStyle w:val="ListParagraph"/>
              <w:numPr>
                <w:ilvl w:val="0"/>
                <w:numId w:val="2"/>
              </w:numPr>
              <w:spacing w:after="80"/>
            </w:pPr>
            <w:r>
              <w:rPr>
                <w:i/>
                <w:iCs/>
                <w:sz w:val="22"/>
                <w:szCs w:val="22"/>
              </w:rPr>
              <w:t xml:space="preserve">Μάθηση μέσα από πειραματισμό, διερεύνηση, διατύπωση και έλεγχο υποθέσεων, με σύνδεση σώματος-κίνησης-αφηρημένης έννοιας.</w:t>
            </w:r>
          </w:p>
          <w:p>
            <w:pPr>
              <w:pStyle w:val="ListParagraph"/>
              <w:numPr>
                <w:ilvl w:val="0"/>
                <w:numId w:val="2"/>
              </w:numPr>
              <w:spacing w:after="80"/>
            </w:pPr>
            <w:r>
              <w:rPr>
                <w:i/>
                <w:iCs/>
                <w:sz w:val="22"/>
                <w:szCs w:val="22"/>
              </w:rPr>
              <w:t xml:space="preserve">Εξοικείωση με ψηφιακά εργαλεία, υπολογιστική σκέψη και τη γλώσσα των μαθηματικών.</w:t>
            </w:r>
          </w:p>
          <w:p>
            <w:pPr>
              <w:pStyle w:val="ListParagraph"/>
              <w:numPr>
                <w:ilvl w:val="0"/>
                <w:numId w:val="2"/>
              </w:numPr>
              <w:spacing w:after="80"/>
            </w:pPr>
            <w:r>
              <w:rPr>
                <w:i/>
                <w:iCs/>
                <w:sz w:val="22"/>
                <w:szCs w:val="22"/>
              </w:rPr>
              <w:t xml:space="preserve">Ομαλή μετάβαση Γυμνασίου–Λυκείου μέσα από κοινό παιδαγωγικό πλαίσιο στις δύο βαθμίδες.</w:t>
            </w:r>
          </w:p>
          <w:p>
            <w:pPr>
              <w:pStyle w:val="ListParagraph"/>
              <w:numPr>
                <w:ilvl w:val="0"/>
                <w:numId w:val="2"/>
              </w:numPr>
              <w:spacing w:after="80"/>
            </w:pPr>
            <w:r>
              <w:rPr>
                <w:i/>
                <w:iCs/>
                <w:sz w:val="22"/>
                <w:szCs w:val="22"/>
              </w:rPr>
              <w:t xml:space="preserve">Σύνδεση σχολείου-πανεπιστημίου: τα εργαλεία δοκιμάζονται, αξιολογούνται και βελτιώνονται με βάση την τάξη, τροφοδοτώντας ερευνητικά δεδομένα για τη Διδακτική των Μαθηματικών.</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Υλοποίηση Δράσης
α) εντός ωρολογίου προγράμματος (προσδιορισμός συνολικού χρόνου/διδακτικών ωρών)
β) εκτός ωρολογίου προγράμματος (προσδιορισμός συνολικού χρόνου)</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Κυρίως εντός ωρολογίου προγράμματος: ενδεικτικά 10–14 διδακτικές ώρες ανά τμήμα/τάξη (Γ΄ Γυμνασίου: Άλγεβρα/Γεωμετρία· Α΄ Λυκείου: Άλγεβρα-Συναρτήσεις/Γεωμετρία-Τριγωνομετρία/Στατιστική-Πιθανότητες), σε επιλεγμένες ενότητες κατανεμημένες στη διάρκεια της χρονιάς — [να οριστικοποιηθεί από τους/τις εμπλεκόμενους/-ες εκπαιδευτικούς].
Εκτός ωρολογίου προγράμματος: προαιρετικές συναντήσεις ομάδας/εργαστηρίου με τον πανεπιστημιακό συνεργάτη (ενδεικτικά 4–6 ώρες συνολικά, εκτός διδακτικού ωραρίου) για δοκιμή/αξιολόγηση νέων ψηφιακών εργαλείων.</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Χρονοδιάγραμμα υλοποίησης της Καινοτόμου Δράσης</w:t>
            </w:r>
          </w:p>
        </w:tc>
        <w:tc>
          <w:tcPr>
            <w:tcW w:type="dxa" w:w="6800"/>
            <w:tcBorders>
              <w:top w:val="single" w:color="000000" w:sz="4"/>
              <w:left w:val="single" w:color="000000" w:sz="4"/>
              <w:bottom w:val="single" w:color="000000" w:sz="4"/>
              <w:right w:val="single" w:color="000000" w:sz="4"/>
            </w:tcBorders>
            <w:vAlign w:val="center"/>
          </w:tcPr>
          <w:p>
            <w:pPr>
              <w:spacing w:after="60"/>
            </w:pPr>
            <w:r>
              <w:rPr>
                <w:b/>
                <w:bCs/>
                <w:sz w:val="22"/>
                <w:szCs w:val="22"/>
              </w:rPr>
              <w:t xml:space="preserve">Γ΄ ΓΥΜΝΑΣΙΟΥ</w:t>
            </w:r>
          </w:p>
          <w:p>
            <w:pPr>
              <w:spacing w:after="40"/>
            </w:pPr>
          </w:p>
          <w:p>
            <w:pPr>
              <w:spacing w:after="60"/>
            </w:pPr>
            <w:r>
              <w:rPr>
                <w:b/>
                <w:bCs/>
                <w:sz w:val="22"/>
                <w:szCs w:val="22"/>
              </w:rPr>
              <w:t xml:space="preserve">Οκτώβριος – Νοέμβριος</w:t>
            </w:r>
          </w:p>
          <w:p>
            <w:pPr>
              <w:spacing w:after="60"/>
            </w:pPr>
            <w:r>
              <w:rPr>
                <w:sz w:val="22"/>
                <w:szCs w:val="22"/>
              </w:rPr>
              <w:t xml:space="preserve">Ρίζες, άρρητοι/πραγματικοί αριθμοί, δυνάμεις με ρητό εκθέτη (5 ώρες) — εργαλείο Node.js πρώτων αριθμών/ριζών.</w:t>
            </w:r>
          </w:p>
          <w:p>
            <w:pPr>
              <w:spacing w:after="40"/>
            </w:pPr>
          </w:p>
          <w:p>
            <w:pPr>
              <w:spacing w:after="60"/>
            </w:pPr>
            <w:r>
              <w:rPr>
                <w:b/>
                <w:bCs/>
                <w:sz w:val="22"/>
                <w:szCs w:val="22"/>
              </w:rPr>
              <w:t xml:space="preserve">Δεκέμβριος – Ιανουάριος</w:t>
            </w:r>
          </w:p>
          <w:p>
            <w:pPr>
              <w:spacing w:after="60"/>
            </w:pPr>
            <w:r>
              <w:rPr>
                <w:sz w:val="22"/>
                <w:szCs w:val="22"/>
              </w:rPr>
              <w:t xml:space="preserve">Ταυτότητες, παραγοντοποίηση, εξισώσεις 2ου βαθμού, γραμμικά συστήματα (6 ώρες) — GeoGebra δυναμική διερεύνηση παραβολής.</w:t>
            </w:r>
          </w:p>
          <w:p>
            <w:pPr>
              <w:spacing w:after="40"/>
            </w:pPr>
          </w:p>
          <w:p>
            <w:pPr>
              <w:spacing w:after="60"/>
            </w:pPr>
            <w:r>
              <w:rPr>
                <w:b/>
                <w:bCs/>
                <w:sz w:val="22"/>
                <w:szCs w:val="22"/>
              </w:rPr>
              <w:t xml:space="preserve">Φεβρουάριος</w:t>
            </w:r>
          </w:p>
          <w:p>
            <w:pPr>
              <w:spacing w:after="60"/>
            </w:pPr>
            <w:r>
              <w:rPr>
                <w:sz w:val="22"/>
                <w:szCs w:val="22"/>
              </w:rPr>
              <w:t xml:space="preserve">Ομοιότητα τριγώνων, ομοιοθεσία, μετρικές σχέσεις, τριγωνομετρικοί αριθμοί οξείας γωνίας (6 ώρες) — ενσώματη μάθηση με κάμερα (γωνίες σώματος).</w:t>
            </w:r>
          </w:p>
          <w:p>
            <w:pPr>
              <w:spacing w:after="40"/>
            </w:pPr>
          </w:p>
          <w:p>
            <w:pPr>
              <w:spacing w:after="60"/>
            </w:pPr>
            <w:r>
              <w:rPr>
                <w:b/>
                <w:bCs/>
                <w:sz w:val="22"/>
                <w:szCs w:val="22"/>
              </w:rPr>
              <w:t xml:space="preserve">Μάρτιος</w:t>
            </w:r>
          </w:p>
          <w:p>
            <w:pPr>
              <w:spacing w:after="60"/>
            </w:pPr>
            <w:r>
              <w:rPr>
                <w:sz w:val="22"/>
                <w:szCs w:val="22"/>
              </w:rPr>
              <w:t xml:space="preserve">Εγγεγραμμένα σχήματα, κανονικά πολύγωνα, εμβαδά/όγκοι στερεών (6 ώρες) — GeoGebra 3D.</w:t>
            </w:r>
          </w:p>
          <w:p>
            <w:pPr>
              <w:spacing w:after="40"/>
            </w:pPr>
          </w:p>
          <w:p>
            <w:pPr>
              <w:spacing w:after="60"/>
            </w:pPr>
            <w:r>
              <w:rPr>
                <w:b/>
                <w:bCs/>
                <w:sz w:val="22"/>
                <w:szCs w:val="22"/>
              </w:rPr>
              <w:t xml:space="preserve">Απρίλιος – Μάιος</w:t>
            </w:r>
          </w:p>
          <w:p>
            <w:pPr>
              <w:spacing w:after="60"/>
            </w:pPr>
            <w:r>
              <w:rPr>
                <w:sz w:val="22"/>
                <w:szCs w:val="22"/>
              </w:rPr>
              <w:t xml:space="preserve">Στατιστική (δειγματοληψία, μέτρα θέσης/διασποράς) και κλασική πιθανότητα (6 ώρες) — ενσώματο human scatterplot &amp; πείραμα Buffon.</w:t>
            </w:r>
          </w:p>
          <w:p>
            <w:pPr>
              <w:spacing w:after="40"/>
            </w:pPr>
          </w:p>
          <w:p>
            <w:pPr>
              <w:spacing w:after="60"/>
            </w:pPr>
            <w:r>
              <w:rPr>
                <w:b/>
                <w:bCs/>
                <w:sz w:val="22"/>
                <w:szCs w:val="22"/>
              </w:rPr>
              <w:t xml:space="preserve">Α΄ ΛΥΚΕΙΟΥ</w:t>
            </w:r>
          </w:p>
          <w:p>
            <w:pPr>
              <w:spacing w:after="40"/>
            </w:pPr>
          </w:p>
          <w:p>
            <w:pPr>
              <w:spacing w:after="60"/>
            </w:pPr>
            <w:r>
              <w:rPr>
                <w:b/>
                <w:bCs/>
                <w:sz w:val="22"/>
                <w:szCs w:val="22"/>
              </w:rPr>
              <w:t xml:space="preserve">Οκτώβριος – Νοέμβριος</w:t>
            </w:r>
          </w:p>
          <w:p>
            <w:pPr>
              <w:spacing w:after="60"/>
            </w:pPr>
            <w:r>
              <w:rPr>
                <w:sz w:val="22"/>
                <w:szCs w:val="22"/>
              </w:rPr>
              <w:t xml:space="preserve">Πραγματικοί αριθμοί, απόλυτη τιμή, εξισώσεις/ανισώσεις 2ου βαθμού, πρόσημο τριωνύμου (6 ώρες) — Node.js εργαλείο πρόσημου τριωνύμου με sliders.</w:t>
            </w:r>
          </w:p>
          <w:p>
            <w:pPr>
              <w:spacing w:after="40"/>
            </w:pPr>
          </w:p>
          <w:p>
            <w:pPr>
              <w:spacing w:after="60"/>
            </w:pPr>
            <w:r>
              <w:rPr>
                <w:b/>
                <w:bCs/>
                <w:sz w:val="22"/>
                <w:szCs w:val="22"/>
              </w:rPr>
              <w:t xml:space="preserve">Δεκέμβριος – Ιανουάριος</w:t>
            </w:r>
          </w:p>
          <w:p>
            <w:pPr>
              <w:spacing w:after="60"/>
            </w:pPr>
            <w:r>
              <w:rPr>
                <w:sz w:val="22"/>
                <w:szCs w:val="22"/>
              </w:rPr>
              <w:t xml:space="preserve">Συναρτήσεις: μονοτονία, ακρότατα, γραμμική/τετραγωνική/απόλυτης τιμής, μετασχηματισμοί γραφικών παραστάσεων (6 ώρες) — ενσώματο 'ανθρώπινο γράφημα θέσης-χρόνου' με κάμερα.</w:t>
            </w:r>
          </w:p>
          <w:p>
            <w:pPr>
              <w:spacing w:after="40"/>
            </w:pPr>
          </w:p>
          <w:p>
            <w:pPr>
              <w:spacing w:after="60"/>
            </w:pPr>
            <w:r>
              <w:rPr>
                <w:b/>
                <w:bCs/>
                <w:sz w:val="22"/>
                <w:szCs w:val="22"/>
              </w:rPr>
              <w:t xml:space="preserve">Φεβρουάριος</w:t>
            </w:r>
          </w:p>
          <w:p>
            <w:pPr>
              <w:spacing w:after="60"/>
            </w:pPr>
            <w:r>
              <w:rPr>
                <w:sz w:val="22"/>
                <w:szCs w:val="22"/>
              </w:rPr>
              <w:t xml:space="preserve">Τριγωνομετρία: μοναδιαίος κύκλος, βασικές ταυτότητες, τριγωνομετρικές συναρτήσεις (6 ώρες) — GeoGebra μοναδιαίος κύκλος + ενσώματη 'ζωντανή' κυματομορφή ημιτόνου.</w:t>
            </w:r>
          </w:p>
          <w:p>
            <w:pPr>
              <w:spacing w:after="40"/>
            </w:pPr>
          </w:p>
          <w:p>
            <w:pPr>
              <w:spacing w:after="60"/>
            </w:pPr>
            <w:r>
              <w:rPr>
                <w:b/>
                <w:bCs/>
                <w:sz w:val="22"/>
                <w:szCs w:val="22"/>
              </w:rPr>
              <w:t xml:space="preserve">Μάρτιος</w:t>
            </w:r>
          </w:p>
          <w:p>
            <w:pPr>
              <w:spacing w:after="60"/>
            </w:pPr>
            <w:r>
              <w:rPr>
                <w:sz w:val="22"/>
                <w:szCs w:val="22"/>
              </w:rPr>
              <w:t xml:space="preserve">Διανύσματα, εισαγωγή στην Αναλυτική Γεωμετρία (εξίσωση ευθείας) (6 ώρες) — GeoGebra.</w:t>
            </w:r>
          </w:p>
          <w:p>
            <w:pPr>
              <w:spacing w:after="40"/>
            </w:pPr>
          </w:p>
          <w:p>
            <w:pPr>
              <w:spacing w:after="60"/>
            </w:pPr>
            <w:r>
              <w:rPr>
                <w:b/>
                <w:bCs/>
                <w:sz w:val="22"/>
                <w:szCs w:val="22"/>
              </w:rPr>
              <w:t xml:space="preserve">Απρίλιος – Μάιος</w:t>
            </w:r>
          </w:p>
          <w:p>
            <w:pPr>
              <w:spacing w:after="60"/>
            </w:pPr>
            <w:r>
              <w:rPr>
                <w:sz w:val="22"/>
                <w:szCs w:val="22"/>
              </w:rPr>
              <w:t xml:space="preserve">Στατιστική (συσχέτιση δύο μεταβλητών) και Πιθανότητες (δειγματικός χώρος, δεσμευμένη πιθανότητα εισαγωγικά) (6 ώρες) — Node.js εργαλείο γραμμικής παλινδρόμησης/νευρωνικού &amp; προσομοίωση Monte Carlo.</w:t>
            </w:r>
          </w:p>
          <w:p>
            <w:pPr>
              <w:spacing w:after="40"/>
            </w:pPr>
          </w:p>
          <w:p>
            <w:pPr>
              <w:spacing w:before="100"/>
            </w:pPr>
            <w:r>
              <w:rPr>
                <w:i/>
                <w:iCs/>
                <w:sz w:val="22"/>
                <w:szCs w:val="22"/>
              </w:rPr>
              <w:t xml:space="preserve">Στο παραπάνω χρονοδιάγραμμα φαίνονται οι ενότητες στις οποίες θα εφαρμοστούν κατά προτεραιότητα τα νέα εργαλεία και προγράμματα σπουδών· εντός του ίδιου χρονικού πλαισίου θα καλυφθεί και η υπόλοιπη ύλη κάθε τάξης.</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Προσδοκώμενα μαθησιακά αποτελέσματα</w:t>
            </w:r>
          </w:p>
        </w:tc>
        <w:tc>
          <w:tcPr>
            <w:tcW w:type="dxa" w:w="6800"/>
            <w:tcBorders>
              <w:top w:val="single" w:color="000000" w:sz="4"/>
              <w:left w:val="single" w:color="000000" w:sz="4"/>
              <w:bottom w:val="single" w:color="000000" w:sz="4"/>
              <w:right w:val="single" w:color="000000" w:sz="4"/>
            </w:tcBorders>
            <w:vAlign w:val="center"/>
          </w:tcPr>
          <w:p>
            <w:pPr>
              <w:pStyle w:val="ListParagraph"/>
              <w:numPr>
                <w:ilvl w:val="0"/>
                <w:numId w:val="2"/>
              </w:numPr>
              <w:spacing w:after="80"/>
            </w:pPr>
            <w:r>
              <w:rPr>
                <w:i/>
                <w:iCs/>
                <w:sz w:val="22"/>
                <w:szCs w:val="22"/>
              </w:rPr>
              <w:t xml:space="preserve">Οι μαθητές/-τριες θα συνδέουν αφηρημένες μαθηματικές έννοιες (συναρτήσεις, γωνίες, πιθανότητες) με σωματική εμπειρία και οπτικοποιημένα δεδομένα σε πραγματικό χρόνο.</w:t>
            </w:r>
          </w:p>
          <w:p>
            <w:pPr>
              <w:pStyle w:val="ListParagraph"/>
              <w:numPr>
                <w:ilvl w:val="0"/>
                <w:numId w:val="2"/>
              </w:numPr>
              <w:spacing w:after="80"/>
            </w:pPr>
            <w:r>
              <w:rPr>
                <w:i/>
                <w:iCs/>
                <w:sz w:val="22"/>
                <w:szCs w:val="22"/>
              </w:rPr>
              <w:t xml:space="preserve">Θα αναπτύξουν άνεση στη χρήση δυναμικού λογισμικού (GeoGebra) και απλών διαδραστικών ψηφιακών εργαλείων για διερεύνηση και επαλήθευση υποθέσεων.</w:t>
            </w:r>
          </w:p>
          <w:p>
            <w:pPr>
              <w:pStyle w:val="ListParagraph"/>
              <w:numPr>
                <w:ilvl w:val="0"/>
                <w:numId w:val="2"/>
              </w:numPr>
              <w:spacing w:after="80"/>
            </w:pPr>
            <w:r>
              <w:rPr>
                <w:i/>
                <w:iCs/>
                <w:sz w:val="22"/>
                <w:szCs w:val="22"/>
              </w:rPr>
              <w:t xml:space="preserve">Θα εξοικειωθούν με στοιχεία υπολογιστικής σκέψης (π.χ. προσομοίωση, τυχαιότητα, αλγοριθμική λογική) μέσα από τα μαθηματικά.</w:t>
            </w:r>
          </w:p>
          <w:p>
            <w:pPr>
              <w:pStyle w:val="ListParagraph"/>
              <w:numPr>
                <w:ilvl w:val="0"/>
                <w:numId w:val="2"/>
              </w:numPr>
              <w:spacing w:after="80"/>
            </w:pPr>
            <w:r>
              <w:rPr>
                <w:i/>
                <w:iCs/>
                <w:sz w:val="22"/>
                <w:szCs w:val="22"/>
              </w:rPr>
              <w:t xml:space="preserve">Θα βιώσουν μια ομαλότερη, εννοιολογικά συνεκτική μετάβαση από τη Γ΄ Γυμνασίου στην Α΄ Λυκείου.</w:t>
            </w:r>
          </w:p>
          <w:p>
            <w:pPr>
              <w:pStyle w:val="ListParagraph"/>
              <w:numPr>
                <w:ilvl w:val="0"/>
                <w:numId w:val="2"/>
              </w:numPr>
              <w:spacing w:after="80"/>
            </w:pPr>
            <w:r>
              <w:rPr>
                <w:i/>
                <w:iCs/>
                <w:sz w:val="22"/>
                <w:szCs w:val="22"/>
              </w:rPr>
              <w:t xml:space="preserve">Θα αναπτύξουν θετική στάση απέναντι στα μαθηματικά μέσα από ενεργό, διερευνητικό και συνεργατικό ρόλο.</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Διδακτική μεθοδολογία</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Ομαδοσυνεργατική και διερευνητική μάθηση, με στοιχεία ενσώματης μάθησης (embodied cognition) και κύκλο πρόβλεψης–παρατήρησης–εξήγησης (Predict–Observe–Explain). Ο/Η εκπαιδευτικός έχει ρόλο διαμεσολαβητή· η ερευνητική ομάδα του πανεπιστημίου λειτουργεί ως «κριτικός φίλος», συμμετέχοντας σε παρατήρηση διδασκαλιών, ανατροφοδότηση και κοινό σχεδιασμό/αναστοχασμό.</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Διδακτικό Υλικό (έντυπο και ηλεκτρονικό)</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Φύλλα εργασίας, ψηφιακό σχολικό βιβλίο, εργαλείο ενσώματης μάθησης με κάμερα (ιδιοκατασκευή), εφαρμογές GeoGebra, διαδικτυακά διαδραστικά εργαλεία Node.js (πρώτοι αριθμοί, νευρωνικά δίκτυα, πείραμα Buffon και νέα εργαλεία — βλ. συνοδευτικό κατάλογο προτεινόμενων εργαλείων).</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Τρόποι αξιολόγησης – αποτίμησης της Καινοτόμου Δράσης</w:t>
            </w:r>
          </w:p>
        </w:tc>
        <w:tc>
          <w:tcPr>
            <w:tcW w:type="dxa" w:w="6800"/>
            <w:tcBorders>
              <w:top w:val="single" w:color="000000" w:sz="4"/>
              <w:left w:val="single" w:color="000000" w:sz="4"/>
              <w:bottom w:val="single" w:color="000000" w:sz="4"/>
              <w:right w:val="single" w:color="000000" w:sz="4"/>
            </w:tcBorders>
            <w:vAlign w:val="center"/>
          </w:tcPr>
          <w:p>
            <w:pPr>
              <w:pStyle w:val="ListParagraph"/>
              <w:numPr>
                <w:ilvl w:val="0"/>
                <w:numId w:val="2"/>
              </w:numPr>
              <w:spacing w:after="80"/>
            </w:pPr>
            <w:r>
              <w:rPr>
                <w:i/>
                <w:iCs/>
                <w:sz w:val="22"/>
                <w:szCs w:val="22"/>
              </w:rPr>
              <w:t xml:space="preserve">Παρατήρηση της μαθησιακής διαδικασίας και της ικανότητας των μαθητών/-τριών να επικοινωνούν τη «μαθηματική ιδέα», να διαχειρίζονται λάθη και να διατυπώνουν νέες έννοιες λεκτικά/συμβολικά.</w:t>
            </w:r>
          </w:p>
          <w:p>
            <w:pPr>
              <w:pStyle w:val="ListParagraph"/>
              <w:numPr>
                <w:ilvl w:val="0"/>
                <w:numId w:val="2"/>
              </w:numPr>
              <w:spacing w:after="80"/>
            </w:pPr>
            <w:r>
              <w:rPr>
                <w:i/>
                <w:iCs/>
                <w:sz w:val="22"/>
                <w:szCs w:val="22"/>
              </w:rPr>
              <w:t xml:space="preserve">Σύντομα ερωτηματολόγια στάσης πριν/μετά τη δράση και ανάλυση δεδομένων χρήσης από τα ψηφιακά εργαλεία (π.χ. συχνότητα χρήσης, τύποι σφαλμάτων).</w:t>
            </w:r>
          </w:p>
          <w:p>
            <w:pPr>
              <w:pStyle w:val="ListParagraph"/>
              <w:numPr>
                <w:ilvl w:val="0"/>
                <w:numId w:val="2"/>
              </w:numPr>
              <w:spacing w:after="80"/>
            </w:pPr>
            <w:r>
              <w:rPr>
                <w:i/>
                <w:iCs/>
                <w:sz w:val="22"/>
                <w:szCs w:val="22"/>
              </w:rPr>
              <w:t xml:space="preserve">Αξιολόγηση της συμμετοχής στην ομαδοσυνεργατική διαδικασία (τήρηση κανόνων, επιχειρηματολογία, παρουσίαση συμπερασμάτων).</w:t>
            </w:r>
          </w:p>
          <w:p>
            <w:pPr>
              <w:pStyle w:val="ListParagraph"/>
              <w:numPr>
                <w:ilvl w:val="0"/>
                <w:numId w:val="2"/>
              </w:numPr>
              <w:spacing w:after="80"/>
            </w:pPr>
            <w:r>
              <w:rPr>
                <w:i/>
                <w:iCs/>
                <w:sz w:val="22"/>
                <w:szCs w:val="22"/>
              </w:rPr>
              <w:t xml:space="preserve">Κοινός αναστοχασμός εκπαιδευτικού–πανεπιστημιακού συνεργάτη μετά από κάθε ενότητα, με καταγραφή προτάσεων βελτίωσης του υλικού.</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Συμπερίληψη Καινοτόμου Δράσης στο πλαίσιο αυτοαξιολόγησης της σχολικής μονάδας</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ΝΑΙ</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Συνεργασίες (ιδρύματα, οργανισμοί, φορείς, πρόσωπα κ.ά.)
Εάν ναι, Πρωτόκολλο Συνεργασίας</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ΝΑΙ — [Όνομα Πανεπιστημίου/Τμήμα], στο πλαίσιο [ερευνητικού προγράμματος / πρακτικής άσκησης φοιτητών / μεταπτυχιακής εργασίας]. Θα υπογραφεί Πρωτόκολλο Συνεργασίας μεταξύ του Πειραματικού Γυμνασίου–Λ.Τ. και του Πανεπιστημίου, με καθορισμό ρόλων, δεδομένων και δεοντολογίας (συναίνεση γονέων/κηδεμόνων όπου απαιτείται).</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Εκπαιδευτικές επισκέψεις</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ΟΧΙ (προαιρετικά: επίσκεψη ομάδας μαθητών στο πανεπιστημιακό εργαστήριο, εφόσον εγκριθεί ξεχωριστά)</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Οικονομική επιβάρυνση των συμμετεχόντων/-ουσών μαθητών/-τριών ή του σχολείου</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ΟΧΙ</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Πρότερη εφαρμογή της Καινοτόμου Δράσης</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[Συμπληρώστε: π.χ. Έχει προηγηθεί ανάλογη δράση σε Β΄ Γυμνασίου (σχ. έτος …). Νέο στοιχείο εδώ: επέκταση σε Γ΄ Γυμνασίου–Α΄ Λυκείου, ενσωμάτωση ενσώματης μάθησης με κάμερα και συστηματική συνεργασία με πανεπιστήμιο.]</w:t>
            </w:r>
          </w:p>
        </w:tc>
      </w:tr>
      <w:tr>
        <w:tc>
          <w:tcPr>
            <w:tcW w:type="dxa" w:w="30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Παραδοτέα</w:t>
            </w:r>
          </w:p>
        </w:tc>
        <w:tc>
          <w:tcPr>
            <w:tcW w:type="dxa" w:w="6800"/>
            <w:tcBorders>
              <w:top w:val="single" w:color="000000" w:sz="4"/>
              <w:left w:val="single" w:color="000000" w:sz="4"/>
              <w:bottom w:val="single" w:color="000000" w:sz="4"/>
              <w:right w:val="single" w:color="000000" w:sz="4"/>
            </w:tcBorders>
            <w:vAlign w:val="center"/>
          </w:tcPr>
          <w:p>
            <w:pPr>
              <w:spacing w:after="100"/>
              <w:jc w:val="center"/>
            </w:pPr>
            <w:r>
              <w:rPr>
                <w:b w:val="false"/>
                <w:bCs w:val="false"/>
                <w:i w:val="false"/>
                <w:iCs w:val="false"/>
                <w:sz w:val="22"/>
                <w:szCs w:val="22"/>
              </w:rPr>
              <w:t xml:space="preserve">Μαθηματικά έργα με τη μορφή φύλλων εργασίας και διδακτικών σεναρίων, βιβλιοθήκη ψηφιακών/ενσώματων εργαλείων με τεκμηρίωση χρήσης, σύντομη έκθεση αποτελεσμάτων και παρουσίαση σε ημερίδα σχολείου-πανεπιστημίου.</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2026-09-07T07:29:50.018Z</dcterms:created>
  <dcterms:modified xsi:type="dcterms:W3CDTF">2026-09-07T07:29:50.031Z</dcterms:modified>
</cp:coreProperties>
</file>

<file path=docProps/custom.xml><?xml version="1.0" encoding="utf-8"?>
<Properties xmlns="http://schemas.openxmlformats.org/officeDocument/2006/custom-properties" xmlns:vt="http://schemas.openxmlformats.org/officeDocument/2006/docPropsVTypes"/>
</file>