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ΥΠΟΒΟΛΗ ΠΡΟΤΑΣΗΣ ΚΑΙΝΟΤΟΜΟΥ ΔΡΑΣΗΣ</w:t>
        <w:br/>
      </w:r>
      <w:r>
        <w:rPr>
          <w:b/>
        </w:rPr>
        <w:t>Μαθηματικά Γ΄ Γυμνασίου – Ψηφιακά, συνεργατικά και ενσώματα μαθησιακά περιβάλλοντα</w:t>
      </w:r>
    </w:p>
    <w:p>
      <w:pPr>
        <w:jc w:val="center"/>
      </w:pPr>
      <w:r>
        <w:rPr>
          <w:i/>
        </w:rPr>
        <w:t>Προσχέδιο για συνεργασία Πανεπιστημίου – Πειραματικού Γυμνασίου</w:t>
      </w:r>
    </w:p>
    <w:tbl>
      <w:tblPr>
        <w:tblStyle w:val="TableGrid"/>
        <w:tblW w:type="auto" w:w="0"/>
        <w:tblLook w:firstColumn="1" w:firstRow="1" w:lastColumn="0" w:lastRow="0" w:noHBand="0" w:noVBand="1" w:val="04A0"/>
      </w:tblPr>
      <w:tblGrid>
        <w:gridCol w:w="5213"/>
        <w:gridCol w:w="5213"/>
      </w:tblGrid>
      <w:tr>
        <w:tc>
          <w:tcPr>
            <w:tcW w:type="dxa" w:w="3231"/>
            <w:vAlign w:val="top"/>
          </w:tcPr>
          <w:p>
            <w:r>
              <w:rPr>
                <w:rFonts w:ascii="Arial" w:hAnsi="Arial"/>
                <w:b/>
                <w:sz w:val="19"/>
              </w:rPr>
              <w:t>Ονοματεπώνυμο εκπαιδευτικού/εκπαιδευτικών που εμπλέκονται στην Καινοτόμο Δράση</w:t>
            </w:r>
          </w:p>
        </w:tc>
        <w:tc>
          <w:tcPr>
            <w:tcW w:type="dxa" w:w="6236"/>
            <w:vAlign w:val="top"/>
          </w:tcPr>
          <w:p>
            <w:r>
              <w:rPr>
                <w:rFonts w:ascii="Arial" w:hAnsi="Arial"/>
                <w:sz w:val="19"/>
              </w:rPr>
              <w:t>Κουμούτση Σοφία</w:t>
            </w:r>
          </w:p>
        </w:tc>
      </w:tr>
      <w:tr>
        <w:tc>
          <w:tcPr>
            <w:tcW w:type="dxa" w:w="3231"/>
            <w:vAlign w:val="top"/>
          </w:tcPr>
          <w:p>
            <w:r>
              <w:rPr>
                <w:rFonts w:ascii="Arial" w:hAnsi="Arial"/>
                <w:b/>
                <w:sz w:val="19"/>
              </w:rPr>
              <w:t>Κλάδος/Κλάδοι, Ειδικότητα/ες εκπαιδευτικού/εκπαιδευτικών</w:t>
            </w:r>
          </w:p>
        </w:tc>
        <w:tc>
          <w:tcPr>
            <w:tcW w:type="dxa" w:w="6236"/>
            <w:vAlign w:val="top"/>
          </w:tcPr>
          <w:p>
            <w:r>
              <w:rPr>
                <w:rFonts w:ascii="Arial" w:hAnsi="Arial"/>
                <w:sz w:val="19"/>
              </w:rPr>
              <w:t>ΠΕ03 – Μαθηματικοί</w:t>
            </w:r>
          </w:p>
        </w:tc>
      </w:tr>
      <w:tr>
        <w:tc>
          <w:tcPr>
            <w:tcW w:type="dxa" w:w="3231"/>
            <w:vAlign w:val="top"/>
          </w:tcPr>
          <w:p>
            <w:r>
              <w:rPr>
                <w:rFonts w:ascii="Arial" w:hAnsi="Arial"/>
                <w:b/>
                <w:sz w:val="19"/>
              </w:rPr>
              <w:t>Τίτλος της Καινοτόμου Δράσης</w:t>
            </w:r>
          </w:p>
        </w:tc>
        <w:tc>
          <w:tcPr>
            <w:tcW w:type="dxa" w:w="6236"/>
            <w:vAlign w:val="top"/>
          </w:tcPr>
          <w:p>
            <w:r>
              <w:rPr>
                <w:rFonts w:ascii="Arial" w:hAnsi="Arial"/>
                <w:sz w:val="19"/>
              </w:rPr>
              <w:t>Διερευνώντας τα Μαθηματικά της Γ΄ Γυμνασίου με ψηφιακά, συνεργατικά και ενσώματα μαθησιακά περιβάλλοντα</w:t>
            </w:r>
          </w:p>
        </w:tc>
      </w:tr>
      <w:tr>
        <w:tc>
          <w:tcPr>
            <w:tcW w:type="dxa" w:w="3231"/>
            <w:vAlign w:val="top"/>
          </w:tcPr>
          <w:p>
            <w:r>
              <w:rPr>
                <w:rFonts w:ascii="Arial" w:hAnsi="Arial"/>
                <w:b/>
                <w:sz w:val="19"/>
              </w:rPr>
              <w:t>Θεματική/ές της Καινοτόμου Δράσης</w:t>
            </w:r>
          </w:p>
        </w:tc>
        <w:tc>
          <w:tcPr>
            <w:tcW w:type="dxa" w:w="6236"/>
            <w:vAlign w:val="top"/>
          </w:tcPr>
          <w:p>
            <w:r>
              <w:rPr>
                <w:rFonts w:ascii="Arial" w:hAnsi="Arial"/>
                <w:sz w:val="19"/>
              </w:rPr>
              <w:t>Πειραματική εφαρμογή και αξιολόγηση διδακτικών σεναρίων στο πλαίσιο του Προγράμματος Σπουδών Μαθηματικών Γ΄ Γυμνασίου, παραγωγή ψηφιακού και έντυπου διδακτικού υλικού, αξιοποίηση συνεργατικών web εργαλείων, GeoGebra και εργαλείου ενσώματης μάθησης με κάμερα, καθώς και ανάπτυξη μαθηματικών έργων διερεύνησης και μοντελοποίησης.</w:t>
            </w:r>
          </w:p>
        </w:tc>
      </w:tr>
      <w:tr>
        <w:tc>
          <w:tcPr>
            <w:tcW w:type="dxa" w:w="3231"/>
            <w:vAlign w:val="top"/>
          </w:tcPr>
          <w:p>
            <w:r>
              <w:rPr>
                <w:rFonts w:ascii="Arial" w:hAnsi="Arial"/>
                <w:b/>
                <w:sz w:val="19"/>
              </w:rPr>
              <w:t>Τάξη ή Τάξεις που συμμετέχουν στην Καινοτόμο Δράση</w:t>
            </w:r>
          </w:p>
        </w:tc>
        <w:tc>
          <w:tcPr>
            <w:tcW w:type="dxa" w:w="6236"/>
            <w:vAlign w:val="top"/>
          </w:tcPr>
          <w:p>
            <w:r>
              <w:rPr>
                <w:rFonts w:ascii="Arial" w:hAnsi="Arial"/>
                <w:sz w:val="19"/>
              </w:rPr>
              <w:t>Γ΄ Γυμνασίου</w:t>
            </w:r>
          </w:p>
        </w:tc>
      </w:tr>
      <w:tr>
        <w:tc>
          <w:tcPr>
            <w:tcW w:type="dxa" w:w="3231"/>
            <w:vAlign w:val="top"/>
          </w:tcPr>
          <w:p>
            <w:r>
              <w:rPr>
                <w:rFonts w:ascii="Arial" w:hAnsi="Arial"/>
                <w:b/>
                <w:sz w:val="19"/>
              </w:rPr>
              <w:t>Αναλυτική περιγραφή της Καινοτόμου Δράσης (στόχοι, περιεχόμενο)</w:t>
            </w:r>
          </w:p>
        </w:tc>
        <w:tc>
          <w:tcPr>
            <w:tcW w:type="dxa" w:w="6236"/>
            <w:vAlign w:val="top"/>
          </w:tcPr>
          <w:p>
            <w:r>
              <w:rPr>
                <w:rFonts w:ascii="Arial" w:hAnsi="Arial"/>
                <w:sz w:val="19"/>
              </w:rPr>
              <w:t>Η δράση προτείνει μια οργανωμένη σειρά μαθηματικών έργων για τη Γ΄ Γυμνασίου, ευθυγραμμισμένη με τα τρία θεματικά πεδία του Προγράμματος Σπουδών: «Αριθμοί, Άλγεβρα και Ανάλυση», «Γεωμετρία, Μέτρηση και Αναλυτική Γεωμετρία» και «Στοχαστικά Μαθηματικά – Στατιστική/Πιθανότητες».</w:t>
              <w:br/>
              <w:br/>
              <w:t>Κεντρική αρχή είναι η μετάβαση από την απλή εκτέλεση αλγορίθμων στη διερεύνηση, τον πειραματισμό, τη μοντελοποίηση, τη μαθηματική επιχειρηματολογία και τον αναστοχασμό. Οι μαθητές εργάζονται ατομικά και σε ομάδες, διατυπώνουν υποθέσεις, συλλέγουν δεδομένα, ελέγχουν εικασίες και μεταβαίνουν μεταξύ λεκτικών, συμβολικών, αριθμητικών, γραφικών και γεωμετρικών αναπαραστάσεων.</w:t>
              <w:br/>
              <w:br/>
              <w:t>Η τεχνολογία δεν χρησιμοποιείται ως απλή αντικατάσταση του χαρτιού και μολυβιού, αλλά ως μέσο για να καταστούν εφικτές δραστηριότητες που είναι δύσκολο να πραγματοποιηθούν με συμβατικά μέσα: δυναμική μεταβολή παραμέτρων, συλλογική ταυτόχρονη εργασία, προσομοιώσεις, άμεση οπτικοποίηση, καταγραφή δεδομένων και ενσώματη αλληλεπίδραση μέσω κάμερας.</w:t>
              <w:br/>
              <w:br/>
              <w:t>Στο πλαίσιο της συνεργασίας Πανεπιστημίου–Πειραματικού Γυμνασίου θα σχεδιαστούν, θα εφαρμοστούν και θα αναθεωρηθούν διδακτικά σενάρια. Η εφαρμογή θα δίνει ιδιαίτερη έμφαση στη σύνδεση μαθηματικού περιεχομένου και μαθηματικών πρακτικών, στη συνεργασία και στην αξιολόγηση για μάθηση.</w:t>
            </w:r>
          </w:p>
        </w:tc>
      </w:tr>
      <w:tr>
        <w:tc>
          <w:tcPr>
            <w:tcW w:type="dxa" w:w="3231"/>
            <w:vAlign w:val="top"/>
          </w:tcPr>
          <w:p>
            <w:r>
              <w:rPr>
                <w:rFonts w:ascii="Arial" w:hAnsi="Arial"/>
                <w:b/>
                <w:sz w:val="19"/>
              </w:rPr>
              <w:t>Υλοποίηση Δράσης</w:t>
              <w:br/>
              <w:t>α) εντός ωρολογίου προγράμματος</w:t>
              <w:br/>
              <w:t>β) εκτός ωρολογίου προγράμματος</w:t>
            </w:r>
          </w:p>
        </w:tc>
        <w:tc>
          <w:tcPr>
            <w:tcW w:type="dxa" w:w="6236"/>
            <w:vAlign w:val="top"/>
          </w:tcPr>
          <w:p>
            <w:r>
              <w:rPr>
                <w:rFonts w:ascii="Arial" w:hAnsi="Arial"/>
                <w:sz w:val="19"/>
              </w:rPr>
              <w:t>Προτείνεται κύρια υλοποίηση εντός ωρολογίου προγράμματος, με συνολικό ενδεικτικό πλαίσιο περίπου 60–65 διδακτικών ωρών, κατανεμημένων στις βασικές ενότητες της Γ΄ Γυμνασίου. Επιμέρους ανάπτυξη/δοκιμή λογισμικού, προετοιμασία υλικού και αναστοχασμός μπορούν να πραγματοποιούνται εκτός ωρολογίου προγράμματος από την ομάδα συνεργασίας.</w:t>
            </w:r>
          </w:p>
        </w:tc>
      </w:tr>
      <w:tr>
        <w:tc>
          <w:tcPr>
            <w:tcW w:type="dxa" w:w="3231"/>
            <w:vAlign w:val="top"/>
          </w:tcPr>
          <w:p>
            <w:r>
              <w:rPr>
                <w:rFonts w:ascii="Arial" w:hAnsi="Arial"/>
                <w:b/>
                <w:sz w:val="19"/>
              </w:rPr>
              <w:t>Χρονοδιάγραμμα υλοποίησης της Καινοτόμου Δράσης</w:t>
            </w:r>
          </w:p>
        </w:tc>
        <w:tc>
          <w:tcPr>
            <w:tcW w:type="dxa" w:w="6236"/>
            <w:vAlign w:val="top"/>
          </w:tcPr>
          <w:p>
            <w:r>
              <w:rPr>
                <w:rFonts w:ascii="Arial" w:hAnsi="Arial"/>
                <w:sz w:val="19"/>
              </w:rPr>
              <w:t>Σεπτέμβριος–Οκτώβριος</w:t>
              <w:br/>
              <w:t>• Πραγματικοί αριθμοί, άρρητοι και τετραγωνικές ρίζες – 6 ώρες</w:t>
              <w:br/>
              <w:t>• Εισαγωγικές δραστηριότητες ψηφιακής/συνεργατικής διερεύνησης – 2 ώρες</w:t>
              <w:br/>
              <w:br/>
              <w:t>Νοέμβριος</w:t>
              <w:br/>
              <w:t>• Αλγεβρικές παραστάσεις, ταυτότητες και παραγοντοποίηση – 7 ώρες</w:t>
              <w:br/>
              <w:t>• Κανονικότητες και μοντελοποίηση – 3 ώρες</w:t>
              <w:br/>
              <w:br/>
              <w:t>Δεκέμβριος–Ιανουάριος</w:t>
              <w:br/>
              <w:t>• Γραμμικές και τετραγωνικές συναρτήσεις – 8 ώρες</w:t>
              <w:br/>
              <w:t>• Γραμμικά συστήματα δύο εξισώσεων με δύο αγνώστους – 5 ώρες</w:t>
              <w:br/>
              <w:t>• Εξισώσεις και ανισώσεις – 5 ώρες</w:t>
              <w:br/>
              <w:br/>
              <w:t>Φεβρουάριος</w:t>
              <w:br/>
              <w:t>• Ισότητα/ομοιότητα τριγώνων και ομοιοθεσία – 4 ώρες</w:t>
              <w:br/>
              <w:t>• Πυθαγόρειο θεώρημα και εφαρμογές – 3 ώρες</w:t>
              <w:br/>
              <w:t>• Τριγωνομετρία και μέτρηση απρόσιτων αποστάσεων – 5 ώρες</w:t>
              <w:br/>
              <w:br/>
              <w:t>Μάρτιος</w:t>
              <w:br/>
              <w:t>• Γεωμετρία/μέτρηση στερεών και βελτιστοποίηση συσκευασίας – 5 ώρες</w:t>
              <w:br/>
              <w:t>• Στατιστική, δείγματα και μεταβλητότητα – 4 ώρες</w:t>
              <w:br/>
              <w:br/>
              <w:t>Απρίλιος</w:t>
              <w:br/>
              <w:t>• Πιθανότητες, προσομοιώσεις και Νόμος των Μεγάλων Αριθμών – 4 ώρες</w:t>
              <w:br/>
              <w:t>• Τελικό συνεργατικό μαθηματικό έργο και αναστοχασμός – 3 ώρες</w:t>
              <w:br/>
              <w:br/>
              <w:t>Το χρονοδιάγραμμα είναι ενδεικτικό και μπορεί να προσαρμοστεί στη ροή του μαθήματος και στις ανάγκες της τάξης.</w:t>
            </w:r>
          </w:p>
        </w:tc>
      </w:tr>
      <w:tr>
        <w:tc>
          <w:tcPr>
            <w:tcW w:type="dxa" w:w="3231"/>
            <w:vAlign w:val="top"/>
          </w:tcPr>
          <w:p>
            <w:r>
              <w:rPr>
                <w:rFonts w:ascii="Arial" w:hAnsi="Arial"/>
                <w:b/>
                <w:sz w:val="19"/>
              </w:rPr>
              <w:t>Προτεινόμενα μαθηματικά έργα και εργαλεία</w:t>
            </w:r>
          </w:p>
        </w:tc>
        <w:tc>
          <w:tcPr>
            <w:tcW w:type="dxa" w:w="6236"/>
            <w:vAlign w:val="top"/>
          </w:tcPr>
          <w:p>
            <w:r>
              <w:rPr>
                <w:rFonts w:ascii="Arial" w:hAnsi="Arial"/>
                <w:sz w:val="19"/>
              </w:rPr>
              <w:t>1. «Ο πραγματικός αριθμός στον άξονα»: δυναμική αριθμογραμμή για ρητούς, άρρητους και προσεγγίσεις √2, √3. Οι μαθητές αναζητούν αριθμούς ανάμεσα σε δύο δεδομένους και τεκμηριώνουν τις επιλογές τους. Εργαλείο: web/GeoGebra.</w:t>
              <w:br/>
              <w:br/>
              <w:t>2. «Ανακάλυψε την ταυτότητα»: δυναμική γεωμετρική αναπαράσταση των (α±β)² και α²−β², με μεταβολή των πλευρών και σύνδεση γεωμετρικής και αλγεβρικής αναπαράστασης. Εργαλείο: GeoGebra.</w:t>
              <w:br/>
              <w:br/>
              <w:t>3. «Παραγοντοποίηση ως παζλ»: συνεργατικό εργαλείο όπου οι μαθητές ανασυνθέτουν αλγεβρικές παραστάσεις και αντιστοιχίζουν παράσταση–γινόμενο–γεωμετρικό μοντέλο.</w:t>
              <w:br/>
              <w:br/>
              <w:t>4. «Η συνάρτηση ζωντανεύει»: οι μαθητές μεταβάλλουν τις παραμέτρους α και β στις y=αx+β και y=αx² και περιγράφουν τι αλλάζει/τι παραμένει σταθερό. Εργαλείο: GeoGebra + live συνεργατικό περιβάλλον.</w:t>
              <w:br/>
              <w:br/>
              <w:t>5. «Κυνήγι συστήματος»: δύο πραγματικές καταστάσεις μοντελοποιούνται από δύο ευθείες. Οι ομάδες προβλέπουν το σημείο τομής και ελέγχουν γραφικά και αλγεβρικά τη λύση.</w:t>
              <w:br/>
              <w:br/>
              <w:t>6. «Εξίσωση ή ανίσωση;»: διαδραστική αριθμογραμμή όπου οι μαθητές τοποθετούν και ελέγχουν λύσεις, συγκρίνοντας σύνολα λύσεων.</w:t>
              <w:br/>
              <w:br/>
              <w:t>7. «Μαθηματικός χάρτης με το σώμα»: αξιοποίηση του εργαλείου ενσώματης μάθησης με κάμερα για δραστηριότητες θέσης, απόστασης, συντεταγμένων, ευθειών/κλίσεων και γεωμετρικών σχέσεων. Οι μαθητές μετακινούνται στον χώρο και η κίνησή τους αντιστοιχίζεται σε μαθηματικές αναπαραστάσεις.</w:t>
              <w:br/>
              <w:br/>
              <w:t>8. «Βρες το ύψος χωρίς να ανέβεις»: τριγωνομετρική δραστηριότητα στον χώρο του σχολείου για υπολογισμό απρόσιτων αποστάσεων/ύψους. Συνδυασμός πραγματικής μέτρησης, κάμερας ή αισθητήρα, υπολογισμού και GeoGebra.</w:t>
              <w:br/>
              <w:br/>
              <w:t>9. «Όμοια σχήματα γύρω μας»: οι μαθητές εντοπίζουν αντικείμενα/σχήματα στο σχολείο, φωτογραφίζουν ή σχεδιάζουν ζεύγη όμοιων σχημάτων και τεκμηριώνουν τον λόγο ομοιότητας.</w:t>
              <w:br/>
              <w:br/>
              <w:t>10. «Σχεδιάζω το στερεό»: δυναμικά αναπτύγματα πρισμάτων, πυραμίδων, κυλίνδρων και κώνων. Από το ανάπτυγμα στο στερεό και αντίστροφα, με διερεύνηση επιφάνειας και όγκου.</w:t>
              <w:br/>
              <w:br/>
              <w:t>11. «Η οικονομικότερη συσκευασία»: ομάδες σχεδιάζουν δοχεία ίδιας χωρητικότητας και αναζητούν λύσεις με μικρότερο εμβαδόν επιφάνειας. Σύνδεση γεωμετρίας, μέτρησης, συναρτήσεων και βελτιστοποίησης.</w:t>
              <w:br/>
              <w:br/>
              <w:t>12. «Στατιστική της τάξης»: συλλογή πραγματικών δεδομένων από την τάξη/σχολείο, επιλογή δείγματος, υπολογισμός μέσης τιμής, διαμέσου και ενδοτεταρτημοριακού εύρους και σύγκριση διαφορετικών δειγμάτων.</w:t>
              <w:br/>
              <w:br/>
              <w:t>13. «Μπορώ να εμπιστευτώ την έρευνα;»: προσομοίωση δειγματοληψίας από πληθυσμό και μελέτη της μεταβλητότητας των στατιστικών δεικτών από δείγμα σε δείγμα.</w:t>
              <w:br/>
              <w:br/>
              <w:t>14. «Buffon και Νόμος των Μεγάλων Αριθμών»: επέκταση του υπάρχοντος live εργαλείου για προσομοιώσεις, γραφική απεικόνιση σχετικής συχνότητας και σύγκριση με θεωρητική πιθανότητα.</w:t>
              <w:br/>
              <w:br/>
              <w:t>15. «Πιθανότητες σε πραγματικό χρόνο»: συνεργατικές προσομοιώσεις κέρματος, ζαριού, τροχού τύχης και επιλογής με/χωρίς επανάθεση, με ταυτόχρονη καταγραφή των αποτελεσμάτων όλων των ομάδων.</w:t>
              <w:br/>
              <w:br/>
              <w:t>16. «Πρώτοι αριθμοί – από το παιχνίδι στη γενίκευση»: επέκταση του υπάρχοντος εργαλείου πρώτων αριθμών ώστε οι μαθητές να διερευνούν παραγοντοποιήσεις, μοτίβα και εικασίες. Η δραστηριότητα μπορεί να συνδεθεί με την ιστορία της πληροφορικής/κρυπτογραφίας.</w:t>
            </w:r>
          </w:p>
        </w:tc>
      </w:tr>
      <w:tr>
        <w:tc>
          <w:tcPr>
            <w:tcW w:type="dxa" w:w="3231"/>
            <w:vAlign w:val="top"/>
          </w:tcPr>
          <w:p>
            <w:r>
              <w:rPr>
                <w:rFonts w:ascii="Arial" w:hAnsi="Arial"/>
                <w:b/>
                <w:sz w:val="19"/>
              </w:rPr>
              <w:t>Προσδοκώμενα μαθησιακά αποτελέσματα</w:t>
            </w:r>
          </w:p>
        </w:tc>
        <w:tc>
          <w:tcPr>
            <w:tcW w:type="dxa" w:w="6236"/>
            <w:vAlign w:val="top"/>
          </w:tcPr>
          <w:p>
            <w:r>
              <w:rPr>
                <w:rFonts w:ascii="Arial" w:hAnsi="Arial"/>
                <w:sz w:val="19"/>
              </w:rPr>
              <w:t>Οι μαθητές/τριες αναμένεται:</w:t>
              <w:br/>
              <w:t>• να διερευνούν μαθηματικές έννοιες μέσω πειραματισμού, προσομοίωσης και δυναμικής αναπαράστασης,</w:t>
              <w:br/>
              <w:t>• να διατυπώνουν, να ελέγχουν και να αναθεωρούν μαθηματικές εικασίες,</w:t>
              <w:br/>
              <w:t>• να συνδέουν διαφορετικές αναπαραστάσεις: φυσική γλώσσα, σύμβολα, πίνακες, γραφήματα, δυναμικά σχήματα και δεδομένα,</w:t>
              <w:br/>
              <w:t>• να χρησιμοποιούν μαθηματική επιχειρηματολογία και να αιτιολογούν συμπεράσματα,</w:t>
              <w:br/>
              <w:t>• να μοντελοποιούν καταστάσεις της καθημερινής ζωής με συναρτήσεις, εξισώσεις, ανισώσεις, γεωμετρικές σχέσεις και στατιστικά μοντέλα,</w:t>
              <w:br/>
              <w:t>• να κατανοούν καλύτερα τη μεταβλητότητα και την αβεβαιότητα μέσω πραγματικών δεδομένων και προσομοιώσεων,</w:t>
              <w:br/>
              <w:t>• να συνεργάζονται και να επικοινωνούν μαθηματικές ιδέες,</w:t>
              <w:br/>
              <w:t>• να αναπτύξουν μεγαλύτερη αυτονομία και θετικότερη στάση απέναντι στα Μαθηματικά,</w:t>
              <w:br/>
              <w:t>• να αξιοποιούν την ψηφιακή τεχνολογία και την ενσώματη αλληλεπίδραση ως εργαλεία μαθηματικής σκέψης και όχι απλώς ως μέσα παρουσίασης.</w:t>
            </w:r>
          </w:p>
        </w:tc>
      </w:tr>
      <w:tr>
        <w:tc>
          <w:tcPr>
            <w:tcW w:type="dxa" w:w="3231"/>
            <w:vAlign w:val="top"/>
          </w:tcPr>
          <w:p>
            <w:r>
              <w:rPr>
                <w:rFonts w:ascii="Arial" w:hAnsi="Arial"/>
                <w:b/>
                <w:sz w:val="19"/>
              </w:rPr>
              <w:t>Διδακτική μεθοδολογία</w:t>
            </w:r>
          </w:p>
        </w:tc>
        <w:tc>
          <w:tcPr>
            <w:tcW w:type="dxa" w:w="6236"/>
            <w:vAlign w:val="top"/>
          </w:tcPr>
          <w:p>
            <w:r>
              <w:rPr>
                <w:rFonts w:ascii="Arial" w:hAnsi="Arial"/>
                <w:sz w:val="19"/>
              </w:rPr>
              <w:t>Ομαδοσυνεργατική και διερευνητική μάθηση, με τον/την εκπαιδευτικό σε ρόλο διαμεσολαβητή. Τα μαθηματικά έργα θα σχεδιάζονται ώστε να επιδέχονται περισσότερες από μία στρατηγικές, να απαιτούν εξηγήσεις και να δημιουργούν ανάγκη για αναπαραστάσεις και συνδέσεις.</w:t>
              <w:br/>
              <w:br/>
              <w:t>Θα αξιοποιούνται κύκλοι «πρόβλεψη → πείραμα/κατασκευή → παρατήρηση → τεκμηρίωση → συζήτηση → αναστοχασμός». Όπου ενδείκνυται, θα συνδυάζονται ενσώματη δραστηριότητα, χειραπτικά υλικά, GeoGebra και live web εφαρμογές. Η ενσώματη δραστηριότητα θα χρησιμοποιείται επιλεκτικά, όταν η κίνηση στον χώρο προσφέρει ουσιαστική μαθηματική αναπαράσταση.</w:t>
              <w:br/>
              <w:br/>
              <w:t>Ιδιαίτερη έμφαση θα δοθεί στη μαθηματική επικοινωνία, στην αξιοποίηση των λαθών ως αφετηριών διερεύνησης και στη διαμορφωτική αξιολόγηση.</w:t>
            </w:r>
          </w:p>
        </w:tc>
      </w:tr>
      <w:tr>
        <w:tc>
          <w:tcPr>
            <w:tcW w:type="dxa" w:w="3231"/>
            <w:vAlign w:val="top"/>
          </w:tcPr>
          <w:p>
            <w:r>
              <w:rPr>
                <w:rFonts w:ascii="Arial" w:hAnsi="Arial"/>
                <w:b/>
                <w:sz w:val="19"/>
              </w:rPr>
              <w:t>Διδακτικό Υλικό (έντυπο και ηλεκτρονικό)</w:t>
            </w:r>
          </w:p>
        </w:tc>
        <w:tc>
          <w:tcPr>
            <w:tcW w:type="dxa" w:w="6236"/>
            <w:vAlign w:val="top"/>
          </w:tcPr>
          <w:p>
            <w:r>
              <w:rPr>
                <w:rFonts w:ascii="Arial" w:hAnsi="Arial"/>
                <w:sz w:val="19"/>
              </w:rPr>
              <w:t>• Φύλλα εργασίας και διδακτικά σενάρια.</w:t>
              <w:br/>
              <w:t>• GeoGebra αρχεία και δυναμικές κατασκευές.</w:t>
              <w:br/>
              <w:t>• Υπάρχοντα live εργαλεία Node.js για άλγεβρα/πιθανότητες.</w:t>
              <w:br/>
              <w:t>• Εργαλείο ενσώματης μάθησης με κάμερα και ανίχνευση/παρακολούθηση συμμετεχόντων.</w:t>
              <w:br/>
              <w:t>• Νέα συνεργατικά web εργαλεία για συναρτήσεις, συστήματα, ανισώσεις, στατιστική, γεωμετρία και στερεά.</w:t>
              <w:br/>
              <w:t>• Μικροπειράματα, πραγματικά δεδομένα και δραστηριότητες στον χώρο του σχολείου.</w:t>
              <w:br/>
              <w:t>• Ψηφιακό αποθετήριο σεναρίων και μαθητικών εργασιών.</w:t>
            </w:r>
          </w:p>
        </w:tc>
      </w:tr>
      <w:tr>
        <w:tc>
          <w:tcPr>
            <w:tcW w:type="dxa" w:w="3231"/>
            <w:vAlign w:val="top"/>
          </w:tcPr>
          <w:p>
            <w:r>
              <w:rPr>
                <w:rFonts w:ascii="Arial" w:hAnsi="Arial"/>
                <w:b/>
                <w:sz w:val="19"/>
              </w:rPr>
              <w:t>Τρόποι αξιολόγησης – αποτίμησης της Καινοτόμου Δράσης</w:t>
            </w:r>
          </w:p>
        </w:tc>
        <w:tc>
          <w:tcPr>
            <w:tcW w:type="dxa" w:w="6236"/>
            <w:vAlign w:val="top"/>
          </w:tcPr>
          <w:p>
            <w:r>
              <w:rPr>
                <w:rFonts w:ascii="Arial" w:hAnsi="Arial"/>
                <w:sz w:val="19"/>
              </w:rPr>
              <w:t>Η αξιολόγηση θα είναι κυρίως διαμορφωτική και θα ενσωματώνεται στη μαθησιακή διαδικασία. Θα αξιοποιηθούν:</w:t>
              <w:br/>
              <w:t>• σύντομες διαγνωστικές δραστηριότητες πριν και μετά από επιλεγμένες ενότητες,</w:t>
              <w:br/>
              <w:t>• φύλλα εργασίας και μαθητικά προϊόντα,</w:t>
              <w:br/>
              <w:t>• παρατήρηση της συμμετοχής, της συνεργασίας και της μαθηματικής επιχειρηματολογίας,</w:t>
              <w:br/>
              <w:t>• καταγραφή και ανάλυση των εναλλακτικών στρατηγικών και λαθών,</w:t>
              <w:br/>
              <w:t>• σύντομες αυτοαξιολογήσεις και αναστοχαστικά ερωτήματα,</w:t>
              <w:br/>
              <w:t>• δεδομένα αλληλεπίδρασης από τα ψηφιακά εργαλεία, όπου αυτό είναι παιδαγωγικά και δεοντολογικά κατάλληλο,</w:t>
              <w:br/>
              <w:t>• σύγκριση της μαθητικής εμπλοκής και των επιδόσεων σε δραστηριότητες με διαφορετικές μορφές αναπαράστασης,</w:t>
              <w:br/>
              <w:t>• αναστοχασμός των εκπαιδευτικών και του/της «κριτικού φίλου» από την ομάδα συνεργασίας.</w:t>
              <w:br/>
              <w:br/>
              <w:t>Η αποτίμηση θα εξετάζει όχι μόνο την ορθότητα των απαντήσεων αλλά και την ικανότητα διερεύνησης, τεκμηρίωσης, επικοινωνίας και σύνδεσης μαθηματικών ιδεών.</w:t>
            </w:r>
          </w:p>
        </w:tc>
      </w:tr>
      <w:tr>
        <w:tc>
          <w:tcPr>
            <w:tcW w:type="dxa" w:w="3231"/>
            <w:vAlign w:val="top"/>
          </w:tcPr>
          <w:p>
            <w:r>
              <w:rPr>
                <w:rFonts w:ascii="Arial" w:hAnsi="Arial"/>
                <w:b/>
                <w:sz w:val="19"/>
              </w:rPr>
              <w:t>Συμπερίληψη Καινοτόμου Δράσης στο πλαίσιο αυτοαξιολόγησης της σχολικής μονάδας</w:t>
            </w:r>
          </w:p>
        </w:tc>
        <w:tc>
          <w:tcPr>
            <w:tcW w:type="dxa" w:w="6236"/>
            <w:vAlign w:val="top"/>
          </w:tcPr>
          <w:p>
            <w:r>
              <w:rPr>
                <w:rFonts w:ascii="Arial" w:hAnsi="Arial"/>
                <w:sz w:val="19"/>
              </w:rPr>
              <w:t>ΝΑΙ – προτείνεται η δράση να συνδεθεί με την ποιότητα της διδασκαλίας, τη μαθητική συμμετοχή, την αξιοποίηση ψηφιακών εργαλείων και τη συνεργασία σχολείου–Πανεπιστημίου.</w:t>
            </w:r>
          </w:p>
        </w:tc>
      </w:tr>
      <w:tr>
        <w:tc>
          <w:tcPr>
            <w:tcW w:type="dxa" w:w="3231"/>
            <w:vAlign w:val="top"/>
          </w:tcPr>
          <w:p>
            <w:r>
              <w:rPr>
                <w:rFonts w:ascii="Arial" w:hAnsi="Arial"/>
                <w:b/>
                <w:sz w:val="19"/>
              </w:rPr>
              <w:t>Συνεργασίες (ιδρύματα, οργανισμοί, φορείς, πρόσωπα κ.ά.) / Εάν ναι, Πρωτόκολλο Συνεργασίας</w:t>
            </w:r>
          </w:p>
        </w:tc>
        <w:tc>
          <w:tcPr>
            <w:tcW w:type="dxa" w:w="6236"/>
            <w:vAlign w:val="top"/>
          </w:tcPr>
          <w:p>
            <w:r>
              <w:rPr>
                <w:rFonts w:ascii="Arial" w:hAnsi="Arial"/>
                <w:sz w:val="19"/>
              </w:rPr>
              <w:t>Προτείνεται συνεργασία του Πειραματικού Γυμνασίου με το συνεργαζόμενο Πανεπιστημιακό Τμήμα/Εργαστήριο, με συμμετοχή εκπαιδευτικών Μαθηματικών και μελών της ερευνητικής/τεχνικής ομάδας για τον σχεδιασμό, την εφαρμογή, την παρατήρηση και τον αναστοχασμό των σεναρίων. Το εάν απαιτείται τυπικό Πρωτόκολλο Συνεργασίας θα καθοριστεί από τα αρμόδια όργανα των δύο φορέων.</w:t>
            </w:r>
          </w:p>
        </w:tc>
      </w:tr>
      <w:tr>
        <w:tc>
          <w:tcPr>
            <w:tcW w:type="dxa" w:w="3231"/>
            <w:vAlign w:val="top"/>
          </w:tcPr>
          <w:p>
            <w:r>
              <w:rPr>
                <w:rFonts w:ascii="Arial" w:hAnsi="Arial"/>
                <w:b/>
                <w:sz w:val="19"/>
              </w:rPr>
              <w:t>Εκπαιδευτικές επισκέψεις</w:t>
            </w:r>
          </w:p>
        </w:tc>
        <w:tc>
          <w:tcPr>
            <w:tcW w:type="dxa" w:w="6236"/>
            <w:vAlign w:val="top"/>
          </w:tcPr>
          <w:p>
            <w:r>
              <w:rPr>
                <w:rFonts w:ascii="Arial" w:hAnsi="Arial"/>
                <w:sz w:val="19"/>
              </w:rPr>
              <w:t>ΠΡΟΑΙΡΕΤΙΚΑ – μπορεί να προβλεφθεί δραστηριότητα πεδίου στον χώρο του σχολείου ή/και επίσκεψη σε πανεπιστημιακό εργαστήριο, εφόσον εγκριθεί και είναι παιδαγωγικά χρήσιμη.</w:t>
            </w:r>
          </w:p>
        </w:tc>
      </w:tr>
      <w:tr>
        <w:tc>
          <w:tcPr>
            <w:tcW w:type="dxa" w:w="3231"/>
            <w:vAlign w:val="top"/>
          </w:tcPr>
          <w:p>
            <w:r>
              <w:rPr>
                <w:rFonts w:ascii="Arial" w:hAnsi="Arial"/>
                <w:b/>
                <w:sz w:val="19"/>
              </w:rPr>
              <w:t>Οικονομική επιβάρυνση των συμμετεχόντων/-ουσών μαθητών/-τριών ή του σχολείου</w:t>
            </w:r>
          </w:p>
        </w:tc>
        <w:tc>
          <w:tcPr>
            <w:tcW w:type="dxa" w:w="6236"/>
            <w:vAlign w:val="top"/>
          </w:tcPr>
          <w:p>
            <w:r>
              <w:rPr>
                <w:rFonts w:ascii="Arial" w:hAnsi="Arial"/>
                <w:sz w:val="19"/>
              </w:rPr>
              <w:t>ΟΧΙ – η δράση σχεδιάζεται να αξιοποιεί υπάρχοντα σχολικό/πανεπιστημιακό εξοπλισμό και λογισμικό. Τυχόν πρόσθετες ανάγκες θα εξετάζονται εκ των προτέρων.</w:t>
            </w:r>
          </w:p>
        </w:tc>
      </w:tr>
      <w:tr>
        <w:tc>
          <w:tcPr>
            <w:tcW w:type="dxa" w:w="3231"/>
            <w:vAlign w:val="top"/>
          </w:tcPr>
          <w:p>
            <w:r>
              <w:rPr>
                <w:rFonts w:ascii="Arial" w:hAnsi="Arial"/>
                <w:b/>
                <w:sz w:val="19"/>
              </w:rPr>
              <w:t>Πρότερη εφαρμογή της Καινοτόμου Δράσης</w:t>
            </w:r>
          </w:p>
        </w:tc>
        <w:tc>
          <w:tcPr>
            <w:tcW w:type="dxa" w:w="6236"/>
            <w:vAlign w:val="top"/>
          </w:tcPr>
          <w:p>
            <w:r>
              <w:rPr>
                <w:rFonts w:ascii="Arial" w:hAnsi="Arial"/>
                <w:sz w:val="19"/>
              </w:rPr>
              <w:t>ΜΕΡΙΚΩΣ – έχουν αναπτυχθεί/χρησιμοποιηθεί επιμέρους ψηφιακά εργαλεία, όπως live εργαλεία Node.js για πρώτους αριθμούς, νευρωνικά δίκτυα και Buffon, καθώς και εργαλείο ενσώματης μάθησης με κάμερα. Η ολοκληρωμένη διδακτική ακολουθία για τη Γ΄ Γυμνασίου προτείνεται να αποτελέσει νέα συστηματική εφαρμογή.</w:t>
            </w:r>
          </w:p>
        </w:tc>
      </w:tr>
      <w:tr>
        <w:tc>
          <w:tcPr>
            <w:tcW w:type="dxa" w:w="3231"/>
            <w:vAlign w:val="top"/>
          </w:tcPr>
          <w:p>
            <w:r>
              <w:rPr>
                <w:rFonts w:ascii="Arial" w:hAnsi="Arial"/>
                <w:b/>
                <w:sz w:val="19"/>
              </w:rPr>
              <w:t>Παραδοτέα</w:t>
            </w:r>
          </w:p>
        </w:tc>
        <w:tc>
          <w:tcPr>
            <w:tcW w:type="dxa" w:w="6236"/>
            <w:vAlign w:val="top"/>
          </w:tcPr>
          <w:p>
            <w:r>
              <w:rPr>
                <w:rFonts w:ascii="Arial" w:hAnsi="Arial"/>
                <w:sz w:val="19"/>
              </w:rPr>
              <w:t>• Ολοκληρωμένη σειρά μαθηματικών σεναρίων για τη Γ΄ Γυμνασίου.</w:t>
              <w:br/>
              <w:t>• Φύλλα εργασίας μαθητών/τριών.</w:t>
              <w:br/>
              <w:t>• Ψηφιακές δραστηριότητες GeoGebra.</w:t>
              <w:br/>
              <w:t>• Συνεργατικά live web εργαλεία.</w:t>
              <w:br/>
              <w:t>• Ενσώματες δραστηριότητες με κάμερα.</w:t>
              <w:br/>
              <w:t>• Συλλογή/ανάλυση μαθητικών έργων και αναστοχαστικών δεδομένων.</w:t>
              <w:br/>
              <w:t>• Έκθεση αποτίμησης της εφαρμογής και προτάσεις βελτίωσης.</w:t>
              <w:br/>
              <w:t>• Ψηφιακό αποθετήριο εκπαιδευτικού υλικού για μελλοντική αξιοποίηση.</w:t>
            </w:r>
          </w:p>
        </w:tc>
      </w:tr>
    </w:tbl>
    <w:p/>
    <w:p>
      <w:r>
        <w:rPr>
          <w:b/>
        </w:rPr>
        <w:t xml:space="preserve">Σημείωση τεκμηρίωσης: </w:t>
      </w:r>
      <w:r>
        <w:t>Η δομή και οι θεματικοί άξονες του προσχεδίου ακολουθούν τα πεδία του παρεχόμενου εντύπου. Οι προτεινόμενες δραστηριότητες αντιστοιχίζονται στις κατευθύνσεις του Προγράμματος Σπουδών Γ΄ Γυμνασίου, με έμφαση στη διερεύνηση, τις πολλαπλές αναπαραστάσεις, τη μοντελοποίηση, τη μαθηματική επιχειρηματολογία, την ψηφιακή τεχνολογία και τη διαμορφωτική αξιολόγηση.</w:t>
      </w:r>
    </w:p>
    <w:sectPr w:rsidR="00FC693F" w:rsidRPr="0006063C" w:rsidSect="00034616">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