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rebuchet MS" w:hAnsi="Trebuchet MS"/>
        </w:rPr>
        <w:t>UGANDA CHRISTIAN UNIVERSITY</w:t>
      </w:r>
    </w:p>
    <w:p>
      <w:pPr>
        <w:pStyle w:val="Heading2"/>
        <w:jc w:val="center"/>
      </w:pPr>
      <w:r>
        <w:rPr>
          <w:rFonts w:ascii="Trebuchet MS" w:hAnsi="Trebuchet MS"/>
        </w:rPr>
        <w:t>FACULTY OF ENGINEERING, DESIGN AND TECHNOLOGY</w:t>
      </w:r>
    </w:p>
    <w:p>
      <w:pPr>
        <w:spacing w:line="360" w:lineRule="auto"/>
        <w:jc w:val="both"/>
      </w:pPr>
      <w:r>
        <w:rPr>
          <w:rFonts w:ascii="Trebuchet MS" w:hAnsi="Trebuchet MS"/>
          <w:b w:val="0"/>
          <w:sz w:val="24"/>
        </w:rPr>
      </w:r>
    </w:p>
    <w:p>
      <w:pPr>
        <w:spacing w:line="360" w:lineRule="auto"/>
        <w:jc w:val="center"/>
      </w:pPr>
      <w:r>
        <w:rPr>
          <w:rFonts w:ascii="Trebuchet MS" w:hAnsi="Trebuchet MS"/>
          <w:b w:val="0"/>
          <w:sz w:val="24"/>
        </w:rPr>
        <w:t>COURSE CODE: CSC1202</w:t>
      </w:r>
    </w:p>
    <w:p>
      <w:pPr>
        <w:spacing w:line="360" w:lineRule="auto"/>
        <w:jc w:val="center"/>
      </w:pPr>
      <w:r>
        <w:rPr>
          <w:rFonts w:ascii="Trebuchet MS" w:hAnsi="Trebuchet MS"/>
          <w:b w:val="0"/>
          <w:sz w:val="24"/>
        </w:rPr>
        <w:t>COURSE NAME: WEB AND MOBILE APPLICATION DEVELOPMENT</w:t>
      </w:r>
    </w:p>
    <w:p>
      <w:pPr>
        <w:spacing w:line="360" w:lineRule="auto"/>
        <w:jc w:val="both"/>
      </w:pPr>
      <w:r>
        <w:rPr>
          <w:rFonts w:ascii="Trebuchet MS" w:hAnsi="Trebuchet MS"/>
          <w:b w:val="0"/>
          <w:sz w:val="24"/>
        </w:rPr>
      </w:r>
    </w:p>
    <w:p>
      <w:pPr>
        <w:pStyle w:val="Heading1"/>
        <w:jc w:val="center"/>
      </w:pPr>
      <w:r>
        <w:rPr>
          <w:rFonts w:ascii="Trebuchet MS" w:hAnsi="Trebuchet MS"/>
        </w:rPr>
        <w:t>PROJECT REPORT</w:t>
      </w:r>
    </w:p>
    <w:p>
      <w:pPr>
        <w:pStyle w:val="Heading2"/>
        <w:jc w:val="center"/>
      </w:pPr>
      <w:r>
        <w:rPr>
          <w:rFonts w:ascii="Trebuchet MS" w:hAnsi="Trebuchet MS"/>
        </w:rPr>
        <w:t>"STUDENT STUDY GROUP FINDER"</w:t>
      </w:r>
    </w:p>
    <w:p>
      <w:pPr>
        <w:spacing w:line="360" w:lineRule="auto"/>
        <w:jc w:val="both"/>
      </w:pPr>
      <w:r>
        <w:rPr>
          <w:rFonts w:ascii="Trebuchet MS" w:hAnsi="Trebuchet MS"/>
          <w:b w:val="0"/>
          <w:sz w:val="24"/>
        </w:rPr>
      </w:r>
    </w:p>
    <w:p>
      <w:pPr>
        <w:spacing w:line="360" w:lineRule="auto"/>
        <w:jc w:val="center"/>
      </w:pPr>
      <w:r>
        <w:rPr>
          <w:rFonts w:ascii="Trebuchet MS" w:hAnsi="Trebuchet MS"/>
          <w:b w:val="0"/>
          <w:sz w:val="24"/>
        </w:rPr>
        <w:t>PROGRAM: BACHELOR OF SCIENCE IN INFORMATION TECHNOLOGY (BSIT) Y1S2</w:t>
      </w:r>
    </w:p>
    <w:p>
      <w:pPr>
        <w:spacing w:line="360" w:lineRule="auto"/>
        <w:jc w:val="center"/>
      </w:pPr>
      <w:r>
        <w:rPr>
          <w:rFonts w:ascii="Trebuchet MS" w:hAnsi="Trebuchet MS"/>
          <w:b w:val="0"/>
          <w:sz w:val="24"/>
        </w:rPr>
        <w:t>SUBMISSION DATE: APRIL 2026</w:t>
      </w:r>
    </w:p>
    <w:p>
      <w:r>
        <w:br w:type="page"/>
      </w:r>
    </w:p>
    <w:p>
      <w:pPr>
        <w:pStyle w:val="Heading2"/>
        <w:jc w:val="left"/>
      </w:pPr>
      <w:r>
        <w:rPr>
          <w:rFonts w:ascii="Trebuchet MS" w:hAnsi="Trebuchet MS"/>
        </w:rPr>
        <w:t>1. Introduction</w:t>
      </w:r>
    </w:p>
    <w:p>
      <w:pPr>
        <w:spacing w:line="360" w:lineRule="auto"/>
        <w:jc w:val="both"/>
      </w:pPr>
      <w:r>
        <w:rPr>
          <w:rFonts w:ascii="Trebuchet MS" w:hAnsi="Trebuchet MS"/>
          <w:b w:val="0"/>
          <w:sz w:val="24"/>
        </w:rPr>
        <w:t>Collaborative learning is a critical aspect of tertiary education, providing students the platform to enhance their academic experiences. Currently, finding and organizing study groups at Uganda Christian University largely depends on informal personal networks and impromptu social media interactions, often limiting broader participation.</w:t>
      </w:r>
    </w:p>
    <w:p>
      <w:pPr>
        <w:spacing w:line="360" w:lineRule="auto"/>
        <w:jc w:val="both"/>
      </w:pPr>
      <w:r>
        <w:rPr>
          <w:rFonts w:ascii="Trebuchet MS" w:hAnsi="Trebuchet MS"/>
          <w:b w:val="0"/>
          <w:sz w:val="24"/>
        </w:rPr>
        <w:t>The Student Study Group Finder aims to directly address this limitation. It provides a structured, digital platform where students can create, discover, and actively manage academic study groups. This ensures a centralized, accessible, and inclusive environment, promoting academic excellence and collaborative learning across all university faculties.</w:t>
      </w:r>
    </w:p>
    <w:p>
      <w:pPr>
        <w:pStyle w:val="Heading2"/>
        <w:jc w:val="left"/>
      </w:pPr>
      <w:r>
        <w:rPr>
          <w:rFonts w:ascii="Trebuchet MS" w:hAnsi="Trebuchet MS"/>
        </w:rPr>
        <w:t>2. Problem Statement &amp; Objectives</w:t>
      </w:r>
    </w:p>
    <w:p>
      <w:pPr>
        <w:pStyle w:val="Heading3"/>
        <w:jc w:val="left"/>
      </w:pPr>
      <w:r>
        <w:rPr>
          <w:rFonts w:ascii="Trebuchet MS" w:hAnsi="Trebuchet MS"/>
        </w:rPr>
        <w:t>Problem Statement</w:t>
      </w:r>
    </w:p>
    <w:p>
      <w:pPr>
        <w:spacing w:line="360" w:lineRule="auto"/>
        <w:jc w:val="both"/>
      </w:pPr>
      <w:r>
        <w:rPr>
          <w:rFonts w:ascii="Trebuchet MS" w:hAnsi="Trebuchet MS"/>
          <w:b w:val="0"/>
          <w:sz w:val="24"/>
        </w:rPr>
        <w:t>The challenge students face is the fragmented and isolated nature of forming academic alliances. Without a centralized hub, students missing initial social connections struggle to find study groups tailored to their specific courses, minimizing equal learning opportunities.</w:t>
      </w:r>
    </w:p>
    <w:p>
      <w:pPr>
        <w:pStyle w:val="Heading3"/>
        <w:jc w:val="left"/>
      </w:pPr>
      <w:r>
        <w:rPr>
          <w:rFonts w:ascii="Trebuchet MS" w:hAnsi="Trebuchet MS"/>
        </w:rPr>
        <w:t>Objectives</w:t>
      </w:r>
    </w:p>
    <w:p>
      <w:pPr>
        <w:spacing w:line="360" w:lineRule="auto"/>
        <w:jc w:val="both"/>
      </w:pPr>
      <w:r>
        <w:rPr>
          <w:rFonts w:ascii="Trebuchet MS" w:hAnsi="Trebuchet MS"/>
          <w:b w:val="0"/>
          <w:sz w:val="24"/>
        </w:rPr>
        <w:t>1. To implement secure user authentication and student profile management.</w:t>
        <w:br/>
        <w:t>2. To provide functionalities for the creation, management, and discovery of study groups based on courses and faculties.</w:t>
        <w:br/>
        <w:t>3. To enable group leaders to schedule and organize study sessions seamlessly.</w:t>
        <w:br/>
        <w:t>4. To implement group communication tools (posts/announcements) for collaborative preparation.</w:t>
      </w:r>
    </w:p>
    <w:p>
      <w:pPr>
        <w:pStyle w:val="Heading2"/>
        <w:jc w:val="left"/>
      </w:pPr>
      <w:r>
        <w:rPr>
          <w:rFonts w:ascii="Trebuchet MS" w:hAnsi="Trebuchet MS"/>
        </w:rPr>
        <w:t>3. Technology Stack &amp; Choices</w:t>
      </w:r>
    </w:p>
    <w:p>
      <w:pPr>
        <w:spacing w:line="360" w:lineRule="auto"/>
        <w:jc w:val="both"/>
      </w:pPr>
      <w:r>
        <w:rPr>
          <w:rFonts w:ascii="Trebuchet MS" w:hAnsi="Trebuchet MS"/>
          <w:b w:val="0"/>
          <w:sz w:val="24"/>
        </w:rPr>
        <w:t>In line with fulfilling the requirement of a scalable and robust minimal viable product (MVP), the following stack was utilized:</w:t>
        <w:br/>
        <w:t>- Frontend Framework: React.js configured with Vite. Selected for fast rendering, component reusability, and efficient state management.</w:t>
        <w:br/>
        <w:t>- Styling: Tailwind CSS &amp; Radix UI (shadcn/ui). Chosen for utility-first styling and extremely accessible User Interface components, ensuring a robust responsive design on desktop and mobile.</w:t>
        <w:br/>
        <w:t>- Backend Framework / Database: Supabase (PostgreSQL with PostgREST). Chosen for secure JWT authentication out-of-the-box, real-time table capabilities, and reliable relational configurations mimicking standard backend logic.</w:t>
        <w:br/>
        <w:t>- Hosting / Deployment: GitHub Pages (frontend delivery).</w:t>
      </w:r>
    </w:p>
    <w:p>
      <w:pPr>
        <w:pStyle w:val="Heading2"/>
        <w:jc w:val="left"/>
      </w:pPr>
      <w:r>
        <w:rPr>
          <w:rFonts w:ascii="Trebuchet MS" w:hAnsi="Trebuchet MS"/>
        </w:rPr>
        <w:t>4. System Architecture</w:t>
      </w:r>
    </w:p>
    <w:p>
      <w:pPr>
        <w:spacing w:line="360" w:lineRule="auto"/>
        <w:jc w:val="both"/>
      </w:pPr>
      <w:r>
        <w:rPr>
          <w:rFonts w:ascii="Trebuchet MS" w:hAnsi="Trebuchet MS"/>
          <w:b w:val="0"/>
          <w:sz w:val="24"/>
        </w:rPr>
        <w:t>The application leverages a modern Client-Server Architecture utilizing a Backend-as-a-Service (BaaS) infrastructure. This perfectly maximizes UI rendering efficiency by offloading work to the client, while abstracting and standardizing backend API integrations smoothly.</w:t>
      </w:r>
    </w:p>
    <w:p>
      <w:pPr>
        <w:jc w:val="center"/>
      </w:pPr>
      <w:r>
        <w:drawing>
          <wp:inline xmlns:a="http://schemas.openxmlformats.org/drawingml/2006/main" xmlns:pic="http://schemas.openxmlformats.org/drawingml/2006/picture">
            <wp:extent cx="5029200" cy="341038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410380"/>
                    </a:xfrm>
                    <a:prstGeom prst="rect"/>
                  </pic:spPr>
                </pic:pic>
              </a:graphicData>
            </a:graphic>
          </wp:inline>
        </w:drawing>
      </w:r>
    </w:p>
    <w:p>
      <w:pPr>
        <w:spacing w:line="360" w:lineRule="auto"/>
        <w:jc w:val="center"/>
      </w:pPr>
      <w:r>
        <w:rPr>
          <w:rFonts w:ascii="Trebuchet MS" w:hAnsi="Trebuchet MS"/>
          <w:b w:val="0"/>
          <w:sz w:val="24"/>
        </w:rPr>
        <w:t>Figure 1: Client-Server Architecture utilizing BaaS Component structure.</w:t>
      </w:r>
    </w:p>
    <w:p>
      <w:pPr>
        <w:pStyle w:val="Heading2"/>
        <w:jc w:val="left"/>
      </w:pPr>
      <w:r>
        <w:rPr>
          <w:rFonts w:ascii="Trebuchet MS" w:hAnsi="Trebuchet MS"/>
        </w:rPr>
        <w:t>5. Entity Relationship (ER) Diagram</w:t>
      </w:r>
    </w:p>
    <w:p>
      <w:pPr>
        <w:spacing w:line="360" w:lineRule="auto"/>
        <w:jc w:val="both"/>
      </w:pPr>
      <w:r>
        <w:rPr>
          <w:rFonts w:ascii="Trebuchet MS" w:hAnsi="Trebuchet MS"/>
          <w:b w:val="0"/>
          <w:sz w:val="24"/>
        </w:rPr>
        <w:t>The database relies on a highly normalized relational setup leveraging PostgreSQL types to preserve referential integrity across modules.</w:t>
      </w:r>
    </w:p>
    <w:p>
      <w:pPr>
        <w:jc w:val="center"/>
      </w:pPr>
      <w:r>
        <w:drawing>
          <wp:inline xmlns:a="http://schemas.openxmlformats.org/drawingml/2006/main" xmlns:pic="http://schemas.openxmlformats.org/drawingml/2006/picture">
            <wp:extent cx="4114800" cy="376022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114800" cy="3760227"/>
                    </a:xfrm>
                    <a:prstGeom prst="rect"/>
                  </pic:spPr>
                </pic:pic>
              </a:graphicData>
            </a:graphic>
          </wp:inline>
        </w:drawing>
      </w:r>
    </w:p>
    <w:p>
      <w:pPr>
        <w:spacing w:line="360" w:lineRule="auto"/>
        <w:jc w:val="center"/>
      </w:pPr>
      <w:r>
        <w:rPr>
          <w:rFonts w:ascii="Trebuchet MS" w:hAnsi="Trebuchet MS"/>
          <w:b w:val="0"/>
          <w:sz w:val="24"/>
        </w:rPr>
        <w:t>Figure 2: PostgreSQL Entity-Relationship Schema mapping.</w:t>
      </w:r>
    </w:p>
    <w:p>
      <w:pPr>
        <w:pStyle w:val="Heading2"/>
        <w:jc w:val="left"/>
      </w:pPr>
      <w:r>
        <w:rPr>
          <w:rFonts w:ascii="Trebuchet MS" w:hAnsi="Trebuchet MS"/>
        </w:rPr>
        <w:t>6. System Features &amp; User Manual</w:t>
      </w:r>
    </w:p>
    <w:p>
      <w:pPr>
        <w:pStyle w:val="Heading3"/>
        <w:jc w:val="left"/>
      </w:pPr>
      <w:r>
        <w:rPr>
          <w:rFonts w:ascii="Trebuchet MS" w:hAnsi="Trebuchet MS"/>
        </w:rPr>
        <w:t>6.1 Registration and Authentication</w:t>
      </w:r>
    </w:p>
    <w:p>
      <w:pPr>
        <w:spacing w:line="360" w:lineRule="auto"/>
        <w:jc w:val="both"/>
      </w:pPr>
      <w:r>
        <w:rPr>
          <w:rFonts w:ascii="Trebuchet MS" w:hAnsi="Trebuchet MS"/>
          <w:b w:val="0"/>
          <w:sz w:val="24"/>
        </w:rPr>
        <w:t>- Step 1: Navigate to the web application URL.</w:t>
        <w:br/>
        <w:t>- Step 2: Click on Sign Up / Login. Input your correct Full Name, Program of Study, Year of Study, institutional Email Address, and secure Password.</w:t>
        <w:br/>
        <w:t>- Step 3: Once successfully verified, visually seamlessly navigate via the populated Dashboards.</w:t>
      </w:r>
    </w:p>
    <w:p>
      <w:pPr>
        <w:pStyle w:val="Heading3"/>
        <w:jc w:val="left"/>
      </w:pPr>
      <w:r>
        <w:rPr>
          <w:rFonts w:ascii="Trebuchet MS" w:hAnsi="Trebuchet MS"/>
        </w:rPr>
        <w:t>6.2 Discovering and Managing Study Groups</w:t>
      </w:r>
    </w:p>
    <w:p>
      <w:pPr>
        <w:spacing w:line="360" w:lineRule="auto"/>
        <w:jc w:val="both"/>
      </w:pPr>
      <w:r>
        <w:rPr>
          <w:rFonts w:ascii="Trebuchet MS" w:hAnsi="Trebuchet MS"/>
          <w:b w:val="0"/>
          <w:sz w:val="24"/>
        </w:rPr>
        <w:t>- Finding a Group: Under the groups interface, browse the active inventory of academic teams. Utilizing the Search and Filter fields, drill down by specific Course Name or respective Faculty.</w:t>
        <w:br/>
        <w:t>- Joining: Verify a group’s intent from its description then click "Join Group" to gain timeline access.</w:t>
        <w:br/>
        <w:t>- Creating a Group: In "Create Module", submit crucial configurations (Group Name, Course Code, Description, Location Format). Note: The creator automatically holds default Group Leader privileges.</w:t>
      </w:r>
    </w:p>
    <w:p>
      <w:pPr>
        <w:pStyle w:val="Heading3"/>
        <w:jc w:val="left"/>
      </w:pPr>
      <w:r>
        <w:rPr>
          <w:rFonts w:ascii="Trebuchet MS" w:hAnsi="Trebuchet MS"/>
        </w:rPr>
        <w:t>6.3 Group Hub: Communication and Scheduling</w:t>
      </w:r>
    </w:p>
    <w:p>
      <w:pPr>
        <w:spacing w:line="360" w:lineRule="auto"/>
        <w:jc w:val="both"/>
      </w:pPr>
      <w:r>
        <w:rPr>
          <w:rFonts w:ascii="Trebuchet MS" w:hAnsi="Trebuchet MS"/>
          <w:b w:val="0"/>
          <w:sz w:val="24"/>
        </w:rPr>
        <w:t>- Scheduling Sessions (Leaders Only): Select "Create Session" in the Hub interface. Establish the Date, precise Time, Physical Location or Virtual Link, and a concise outline of modules to cover. These immediately reflect on member dashboards.</w:t>
        <w:br/>
        <w:t>- Interactions: The built-in "Discussion Wall" mechanism tracks inquiries, shared resource linkages, and casual study notifications in a single persistent timeline.</w:t>
      </w:r>
    </w:p>
    <w:p>
      <w:pPr>
        <w:pStyle w:val="Heading2"/>
        <w:jc w:val="left"/>
      </w:pPr>
      <w:r>
        <w:rPr>
          <w:rFonts w:ascii="Trebuchet MS" w:hAnsi="Trebuchet MS"/>
        </w:rPr>
        <w:t>7. API Documentation</w:t>
      </w:r>
    </w:p>
    <w:p>
      <w:pPr>
        <w:spacing w:line="360" w:lineRule="auto"/>
        <w:jc w:val="both"/>
      </w:pPr>
      <w:r>
        <w:rPr>
          <w:rFonts w:ascii="Trebuchet MS" w:hAnsi="Trebuchet MS"/>
          <w:b w:val="0"/>
          <w:sz w:val="24"/>
        </w:rPr>
        <w:t>The Application Programming Interfaces strictly adhere to well-formatted REST standard methodologies securely orchestrated by PostgREST acting over PostgreSQL, returning normalized JSON payload objects and arrays.</w:t>
      </w:r>
    </w:p>
    <w:p>
      <w:pPr>
        <w:spacing w:line="360" w:lineRule="auto"/>
        <w:jc w:val="both"/>
      </w:pPr>
      <w:r>
        <w:rPr>
          <w:rFonts w:ascii="Trebuchet MS" w:hAnsi="Trebuchet MS"/>
          <w:b w:val="0"/>
          <w:sz w:val="24"/>
        </w:rPr>
        <w:t>Endpoints &amp; Functions:</w:t>
        <w:br/>
        <w:t>1. POST /auth/v1/signup: Student Registration Identity creation.</w:t>
        <w:br/>
        <w:t>2. POST /auth/v1/token?grant_type=password: Authentication token exchange.</w:t>
        <w:br/>
        <w:t>3. GET /rest/v1/study_groups: Fetch groups; manages filtering queries.</w:t>
        <w:br/>
        <w:t>4. POST /rest/v1/study_groups: Create new study ecosystem. (Valid JWT header expected).</w:t>
        <w:br/>
        <w:t>5. POST /rest/v1/study_sessions: Write new group study session record entry.</w:t>
        <w:br/>
        <w:t>6. GET /rest/v1/group_posts?group_id=eq.[id]: Fetches specific ongoing discussion pipelines.</w:t>
      </w:r>
    </w:p>
    <w:p>
      <w:pPr>
        <w:pStyle w:val="Heading2"/>
        <w:jc w:val="left"/>
      </w:pPr>
      <w:r>
        <w:rPr>
          <w:rFonts w:ascii="Trebuchet MS" w:hAnsi="Trebuchet MS"/>
        </w:rPr>
        <w:t>8. GitHub Collaborative Deliverables</w:t>
      </w:r>
    </w:p>
    <w:p>
      <w:pPr>
        <w:spacing w:line="360" w:lineRule="auto"/>
        <w:jc w:val="both"/>
      </w:pPr>
      <w:r>
        <w:rPr>
          <w:rFonts w:ascii="Trebuchet MS" w:hAnsi="Trebuchet MS"/>
          <w:b w:val="0"/>
          <w:sz w:val="24"/>
        </w:rPr>
        <w:t>The core repositories encompassing source code and database rules/schemas conform to best practices highlighting detailed commitment traces and collaborative milestones.</w:t>
      </w:r>
    </w:p>
    <w:p>
      <w:pPr>
        <w:spacing w:line="360" w:lineRule="auto"/>
        <w:jc w:val="both"/>
      </w:pPr>
      <w:r>
        <w:rPr>
          <w:rFonts w:ascii="Trebuchet MS" w:hAnsi="Trebuchet MS"/>
          <w:b w:val="0"/>
          <w:sz w:val="24"/>
        </w:rPr>
        <w:t>- Application Main Repository Filepath (Frontend Logic): https://github.com/evarduwamani-ctrl/Student-Study-Group-Finder</w:t>
        <w:br/>
        <w:t>- Backend Environment Pipeline: Systematized and tightly coupled actively running via Supabase integration frameworks. Authentication logic and relational setup exist organically on the database node structure driven identically by the primary repository connections.</w:t>
      </w:r>
    </w:p>
    <w:p>
      <w:pPr>
        <w:pStyle w:val="Heading2"/>
        <w:jc w:val="left"/>
      </w:pPr>
      <w:r>
        <w:rPr>
          <w:rFonts w:ascii="Trebuchet MS" w:hAnsi="Trebuchet MS"/>
        </w:rPr>
        <w:t>9. References</w:t>
      </w:r>
    </w:p>
    <w:p>
      <w:pPr>
        <w:spacing w:line="360" w:lineRule="auto"/>
        <w:jc w:val="both"/>
      </w:pPr>
      <w:r>
        <w:rPr>
          <w:rFonts w:ascii="Trebuchet MS" w:hAnsi="Trebuchet MS"/>
          <w:b w:val="0"/>
          <w:sz w:val="24"/>
        </w:rPr>
        <w:t>[1] D. Flanagan, JavaScript: The Definitive Guide. 7th ed. Sebastopol, CA: O'Reilly Media, 2020.</w:t>
        <w:br/>
        <w:t>[2] "Supabase Official Documentation," Supabase HQ. [Online]. Available: https://supabase.com/docs.</w:t>
        <w:br/>
        <w:t>[3] "React - A JavaScript library for building user interfaces," Meta Platforms. [Online]. Available: https://reactjs.org/.</w:t>
        <w:br/>
        <w:t>[4] "Tailwind CSS - Rapidly build modern websites without ever leaving your HTML," Tailwind Labs. [Online]. Available: https://tailwindcss.com/.</w:t>
        <w:br/>
        <w:t>[5] "IEEE Reference Guide," IEEE, Piscataway, NJ, USA,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rebuchet MS" w:hAnsi="Trebuchet M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